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topLinePunct w:val="0"/>
        <w:bidi w:val="0"/>
        <w:adjustRightInd w:val="0"/>
        <w:snapToGrid w:val="0"/>
        <w:spacing w:line="520" w:lineRule="exact"/>
        <w:rPr>
          <w:rFonts w:ascii="Times New Roman" w:hAnsi="Times New Roman" w:cs="Times New Roman"/>
          <w:sz w:val="32"/>
          <w:szCs w:val="32"/>
        </w:rPr>
      </w:pPr>
      <w:r>
        <w:rPr>
          <w:rFonts w:ascii="Times New Roman" w:hAnsi="Times New Roman" w:eastAsia="黑体" w:cs="Times New Roman"/>
          <w:bCs/>
          <w:color w:val="000000" w:themeColor="text1"/>
          <w:sz w:val="32"/>
          <w:szCs w:val="32"/>
          <w14:textFill>
            <w14:solidFill>
              <w14:schemeClr w14:val="tx1"/>
            </w14:solidFill>
          </w14:textFill>
        </w:rPr>
        <w:t>附件2</w:t>
      </w:r>
    </w:p>
    <w:p>
      <w:pPr>
        <w:keepNext w:val="0"/>
        <w:keepLines w:val="0"/>
        <w:pageBreakBefore w:val="0"/>
        <w:kinsoku/>
        <w:topLinePunct w:val="0"/>
        <w:bidi w:val="0"/>
        <w:adjustRightInd w:val="0"/>
        <w:snapToGrid w:val="0"/>
        <w:spacing w:line="520" w:lineRule="exact"/>
        <w:jc w:val="center"/>
        <w:rPr>
          <w:rFonts w:ascii="Times New Roman" w:hAnsi="Times New Roman" w:eastAsia="方正小标宋简体" w:cs="Times New Roman"/>
          <w:color w:val="000000" w:themeColor="text1"/>
          <w:sz w:val="36"/>
          <w:szCs w:val="36"/>
          <w14:textFill>
            <w14:solidFill>
              <w14:schemeClr w14:val="tx1"/>
            </w14:solidFill>
          </w14:textFill>
        </w:rPr>
      </w:pPr>
    </w:p>
    <w:p>
      <w:pPr>
        <w:keepNext w:val="0"/>
        <w:keepLines w:val="0"/>
        <w:pageBreakBefore w:val="0"/>
        <w:kinsoku/>
        <w:topLinePunct w:val="0"/>
        <w:bidi w:val="0"/>
        <w:adjustRightInd w:val="0"/>
        <w:snapToGrid w:val="0"/>
        <w:spacing w:line="520" w:lineRule="exact"/>
        <w:jc w:val="center"/>
        <w:rPr>
          <w:rFonts w:hint="eastAsia" w:ascii="Times New Roman" w:hAnsi="Times New Roman" w:eastAsia="方正小标宋简体" w:cs="Times New Roman"/>
          <w:color w:val="000000" w:themeColor="text1"/>
          <w:sz w:val="36"/>
          <w:szCs w:val="36"/>
          <w14:textFill>
            <w14:solidFill>
              <w14:schemeClr w14:val="tx1"/>
            </w14:solidFill>
          </w14:textFill>
        </w:rPr>
      </w:pPr>
      <w:r>
        <w:rPr>
          <w:rFonts w:hint="eastAsia" w:ascii="Times New Roman" w:hAnsi="Times New Roman" w:eastAsia="方正小标宋简体" w:cs="Times New Roman"/>
          <w:color w:val="000000" w:themeColor="text1"/>
          <w:sz w:val="36"/>
          <w:szCs w:val="36"/>
          <w14:textFill>
            <w14:solidFill>
              <w14:schemeClr w14:val="tx1"/>
            </w14:solidFill>
          </w14:textFill>
        </w:rPr>
        <w:t>上海高校网络教育优秀作品推选展示活动</w:t>
      </w:r>
      <w:r>
        <w:rPr>
          <w:rFonts w:hint="eastAsia" w:ascii="Times New Roman" w:hAnsi="Times New Roman" w:eastAsia="方正小标宋简体" w:cs="Times New Roman"/>
          <w:color w:val="000000" w:themeColor="text1"/>
          <w:sz w:val="36"/>
          <w:szCs w:val="36"/>
          <w:lang w:eastAsia="zh-CN"/>
          <w14:textFill>
            <w14:solidFill>
              <w14:schemeClr w14:val="tx1"/>
            </w14:solidFill>
          </w14:textFill>
        </w:rPr>
        <w:t>征集要求</w:t>
      </w:r>
    </w:p>
    <w:p>
      <w:pPr>
        <w:keepNext w:val="0"/>
        <w:keepLines w:val="0"/>
        <w:pageBreakBefore w:val="0"/>
        <w:kinsoku/>
        <w:topLinePunct w:val="0"/>
        <w:bidi w:val="0"/>
        <w:adjustRightInd w:val="0"/>
        <w:snapToGrid w:val="0"/>
        <w:spacing w:line="520" w:lineRule="exact"/>
        <w:jc w:val="center"/>
        <w:rPr>
          <w:rFonts w:ascii="Times New Roman" w:hAnsi="Times New Roman" w:cs="Times New Roman"/>
          <w:color w:val="000000" w:themeColor="text1"/>
          <w:sz w:val="32"/>
          <w:szCs w:val="32"/>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Times New Roman" w:hAnsi="Times New Roman" w:eastAsia="仿宋_GB2312" w:cs="Times New Roman"/>
          <w:color w:val="000000"/>
          <w:kern w:val="0"/>
          <w:sz w:val="32"/>
          <w:szCs w:val="32"/>
          <w:highlight w:val="none"/>
          <w:lang w:eastAsia="zh-CN"/>
        </w:rPr>
        <w:t>本次活动</w:t>
      </w:r>
      <w:r>
        <w:rPr>
          <w:rFonts w:ascii="Times New Roman" w:hAnsi="Times New Roman" w:eastAsia="仿宋_GB2312" w:cs="Times New Roman"/>
          <w:color w:val="000000"/>
          <w:kern w:val="0"/>
          <w:sz w:val="32"/>
          <w:szCs w:val="32"/>
          <w:highlight w:val="none"/>
        </w:rPr>
        <w:t>以习近平新时代中国特色社会主义思想为指导，</w:t>
      </w:r>
      <w:r>
        <w:rPr>
          <w:rFonts w:ascii="Times New Roman" w:hAnsi="Times New Roman" w:eastAsia="仿宋_GB2312" w:cs="Times New Roman"/>
          <w:sz w:val="32"/>
          <w:szCs w:val="32"/>
          <w:highlight w:val="none"/>
        </w:rPr>
        <w:t>围绕“奋进新征程，建功新时代”主旋律，突出爱国爱党爱社会主义引领，</w:t>
      </w:r>
      <w:r>
        <w:rPr>
          <w:rFonts w:ascii="Times New Roman" w:hAnsi="Times New Roman" w:eastAsia="仿宋_GB2312" w:cs="Times New Roman"/>
          <w:color w:val="000000"/>
          <w:kern w:val="0"/>
          <w:sz w:val="32"/>
          <w:szCs w:val="32"/>
          <w:highlight w:val="none"/>
        </w:rPr>
        <w:t>鼓励引导广大高校思政工作者创作推出一批反映新时代高校网络思政教育的先进经验、典型案例、优秀作品，充分发挥其示范引领和模范带动作用，推动思想政治工作联网上线，深化网络文明建设，以实际行动践行党的二十大精神。</w:t>
      </w:r>
      <w:r>
        <w:rPr>
          <w:rFonts w:hint="eastAsia" w:ascii="Times New Roman" w:hAnsi="Times New Roman" w:eastAsia="仿宋_GB2312" w:cs="Times New Roman"/>
          <w:color w:val="000000"/>
          <w:kern w:val="0"/>
          <w:sz w:val="32"/>
          <w:szCs w:val="32"/>
          <w:highlight w:val="none"/>
          <w:lang w:eastAsia="zh-CN"/>
        </w:rPr>
        <w:t>活动</w:t>
      </w:r>
      <w:r>
        <w:rPr>
          <w:rFonts w:hint="eastAsia" w:ascii="Times New Roman" w:hAnsi="Times New Roman" w:eastAsia="仿宋_GB2312" w:cs="Times New Roman"/>
          <w:sz w:val="32"/>
          <w:szCs w:val="32"/>
          <w:highlight w:val="none"/>
          <w:lang w:val="en-US" w:eastAsia="zh-CN"/>
        </w:rPr>
        <w:t>面向</w:t>
      </w:r>
      <w:r>
        <w:rPr>
          <w:rFonts w:ascii="Times New Roman" w:hAnsi="Times New Roman" w:eastAsia="仿宋_GB2312" w:cs="Times New Roman"/>
          <w:color w:val="000000"/>
          <w:kern w:val="0"/>
          <w:sz w:val="32"/>
          <w:szCs w:val="32"/>
          <w:highlight w:val="none"/>
        </w:rPr>
        <w:t>高校思想政治工作者、党务工作者或从事相关领域理论研究和</w:t>
      </w:r>
      <w:r>
        <w:rPr>
          <w:rFonts w:ascii="Times New Roman" w:hAnsi="Times New Roman" w:eastAsia="仿宋_GB2312" w:cs="Times New Roman"/>
          <w:color w:val="000000"/>
          <w:kern w:val="0"/>
          <w:sz w:val="32"/>
          <w:szCs w:val="32"/>
        </w:rPr>
        <w:t>实践工作的专业教师</w:t>
      </w:r>
      <w:r>
        <w:rPr>
          <w:rFonts w:hint="eastAsia" w:ascii="Times New Roman" w:hAnsi="Times New Roman" w:eastAsia="仿宋_GB2312" w:cs="Times New Roman"/>
          <w:sz w:val="32"/>
          <w:szCs w:val="32"/>
          <w:highlight w:val="none"/>
          <w:lang w:val="en-US" w:eastAsia="zh-CN"/>
        </w:rPr>
        <w:t>，</w:t>
      </w:r>
      <w:r>
        <w:rPr>
          <w:rFonts w:hint="eastAsia" w:ascii="仿宋_GB2312" w:hAnsi="仿宋_GB2312" w:eastAsia="仿宋_GB2312" w:cs="仿宋_GB2312"/>
          <w:color w:val="000000"/>
          <w:kern w:val="0"/>
          <w:sz w:val="32"/>
          <w:szCs w:val="32"/>
          <w:highlight w:val="none"/>
          <w:lang w:eastAsia="zh-CN"/>
        </w:rPr>
        <w:t>共征集</w:t>
      </w:r>
      <w:r>
        <w:rPr>
          <w:rFonts w:hint="eastAsia" w:ascii="仿宋_GB2312" w:hAnsi="仿宋_GB2312" w:eastAsia="仿宋_GB2312" w:cs="仿宋_GB2312"/>
          <w:color w:val="000000"/>
          <w:kern w:val="0"/>
          <w:sz w:val="32"/>
          <w:szCs w:val="32"/>
          <w:highlight w:val="none"/>
        </w:rPr>
        <w:t>优秀网络文章、优秀工作案例、优秀微课、优秀新媒体作品4类作品。</w:t>
      </w:r>
      <w:r>
        <w:rPr>
          <w:rFonts w:hint="eastAsia" w:ascii="仿宋_GB2312" w:hAnsi="仿宋_GB2312" w:eastAsia="仿宋_GB2312" w:cs="仿宋_GB2312"/>
          <w:sz w:val="32"/>
          <w:szCs w:val="32"/>
          <w:highlight w:val="none"/>
        </w:rPr>
        <w:t>所有作品</w:t>
      </w:r>
      <w:r>
        <w:rPr>
          <w:rFonts w:hint="eastAsia" w:ascii="仿宋_GB2312" w:hAnsi="仿宋_GB2312" w:eastAsia="仿宋_GB2312" w:cs="仿宋_GB2312"/>
          <w:sz w:val="32"/>
          <w:szCs w:val="32"/>
          <w:highlight w:val="none"/>
          <w:lang w:eastAsia="zh-CN"/>
        </w:rPr>
        <w:t>均以学校为单位申报，</w:t>
      </w:r>
      <w:r>
        <w:rPr>
          <w:rFonts w:ascii="Times New Roman" w:hAnsi="Times New Roman" w:eastAsia="仿宋_GB2312" w:cs="Times New Roman"/>
          <w:sz w:val="32"/>
          <w:szCs w:val="32"/>
        </w:rPr>
        <w:t>须为202</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月1日至提交截止日期间在网络上发表的作品。</w:t>
      </w:r>
    </w:p>
    <w:p>
      <w:pPr>
        <w:keepNext w:val="0"/>
        <w:keepLines w:val="0"/>
        <w:pageBreakBefore w:val="0"/>
        <w:widowControl w:val="0"/>
        <w:kinsoku/>
        <w:wordWrap w:val="0"/>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黑体" w:cs="Times New Roman"/>
          <w:color w:val="000000"/>
          <w:sz w:val="32"/>
          <w:szCs w:val="32"/>
          <w:highlight w:val="none"/>
          <w:lang w:eastAsia="zh-CN"/>
        </w:rPr>
      </w:pPr>
      <w:r>
        <w:rPr>
          <w:rFonts w:ascii="Times New Roman" w:hAnsi="Times New Roman" w:eastAsia="黑体" w:cs="Times New Roman"/>
          <w:color w:val="000000"/>
          <w:sz w:val="32"/>
          <w:szCs w:val="32"/>
          <w:highlight w:val="none"/>
        </w:rPr>
        <w:t>一、征集</w:t>
      </w:r>
      <w:r>
        <w:rPr>
          <w:rFonts w:hint="eastAsia" w:ascii="Times New Roman" w:hAnsi="Times New Roman" w:eastAsia="黑体" w:cs="Times New Roman"/>
          <w:color w:val="000000"/>
          <w:sz w:val="32"/>
          <w:szCs w:val="32"/>
          <w:highlight w:val="none"/>
          <w:lang w:eastAsia="zh-CN"/>
        </w:rPr>
        <w:t>内容</w:t>
      </w:r>
    </w:p>
    <w:p>
      <w:pPr>
        <w:keepNext w:val="0"/>
        <w:keepLines w:val="0"/>
        <w:pageBreakBefore w:val="0"/>
        <w:kinsoku/>
        <w:wordWrap w:val="0"/>
        <w:topLinePunct w:val="0"/>
        <w:bidi w:val="0"/>
        <w:adjustRightInd w:val="0"/>
        <w:snapToGrid w:val="0"/>
        <w:spacing w:line="52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（一）优秀网络文章</w:t>
      </w:r>
    </w:p>
    <w:p>
      <w:pPr>
        <w:keepNext w:val="0"/>
        <w:keepLines w:val="0"/>
        <w:pageBreakBefore w:val="0"/>
        <w:kinsoku/>
        <w:wordWrap w:val="0"/>
        <w:topLinePunct w:val="0"/>
        <w:bidi w:val="0"/>
        <w:adjustRightInd w:val="0"/>
        <w:snapToGrid w:val="0"/>
        <w:spacing w:line="52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须面向大学生创作，体裁不限，要体现价值引导、思想引领，内容观点正确、立场鲜明，育人功能凸显，紧扣高校思想政治工作重点难点问题，以理服人、以情感人，对广大学生有较强的吸引力、感染力和教育意义。鼓励网络首发，有较高的转发、评论和引用量。每件作品作者限1人，且必须为文章第一作者。</w:t>
      </w:r>
    </w:p>
    <w:p>
      <w:pPr>
        <w:keepNext w:val="0"/>
        <w:keepLines w:val="0"/>
        <w:pageBreakBefore w:val="0"/>
        <w:kinsoku/>
        <w:wordWrap w:val="0"/>
        <w:topLinePunct w:val="0"/>
        <w:bidi w:val="0"/>
        <w:adjustRightInd w:val="0"/>
        <w:snapToGrid w:val="0"/>
        <w:spacing w:line="52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（二）优秀工作案例</w:t>
      </w:r>
    </w:p>
    <w:p>
      <w:pPr>
        <w:keepNext w:val="0"/>
        <w:keepLines w:val="0"/>
        <w:pageBreakBefore w:val="0"/>
        <w:kinsoku/>
        <w:wordWrap w:val="0"/>
        <w:topLinePunct w:val="0"/>
        <w:bidi w:val="0"/>
        <w:adjustRightInd w:val="0"/>
        <w:snapToGrid w:val="0"/>
        <w:spacing w:line="52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kern w:val="0"/>
          <w:sz w:val="32"/>
          <w:szCs w:val="32"/>
        </w:rPr>
        <w:t>可围绕个人或团队（高校网络思政工作室、理论社团、心理咨询室、创新创业工作室等）在创新网络思想政治工作、提升师生网络素</w:t>
      </w:r>
      <w:r>
        <w:rPr>
          <w:rFonts w:ascii="Times New Roman" w:hAnsi="Times New Roman" w:eastAsia="仿宋_GB2312" w:cs="Times New Roman"/>
          <w:color w:val="000000"/>
          <w:kern w:val="0"/>
          <w:sz w:val="32"/>
          <w:szCs w:val="32"/>
        </w:rPr>
        <w:t>养、开展网络文化建设、推进网络文明教育、营造清朗网络空间工作过程中探索施行的好经验、好做法及维护运行的平台及栏目，或在开展学生工作中利用网络对遇到的热点、难点、重点、突发事件等进行释疑解惑和深度辅导过程中形成的好经验、好做法进行撰写，并在此基础上进行剖析、总结、提炼形成的新对策新经验。案例需已形成一定的典型性经验，有固定工作平台、可靠条件保障、长效工作机制和明显育人实效，可示范、可复制、可推广。</w:t>
      </w:r>
    </w:p>
    <w:p>
      <w:pPr>
        <w:keepNext w:val="0"/>
        <w:keepLines w:val="0"/>
        <w:pageBreakBefore w:val="0"/>
        <w:kinsoku/>
        <w:wordWrap w:val="0"/>
        <w:topLinePunct w:val="0"/>
        <w:bidi w:val="0"/>
        <w:adjustRightInd w:val="0"/>
        <w:snapToGrid w:val="0"/>
        <w:spacing w:line="52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案例内容应包括项目主题和思路、实施方法和过程、主要成效和经验、下一步加强和改进的计划等，要求文字简洁、重点突出，字数3000字以上，可配说明图片和视频。每件作品作者限3人以内。</w:t>
      </w:r>
    </w:p>
    <w:p>
      <w:pPr>
        <w:keepNext w:val="0"/>
        <w:keepLines w:val="0"/>
        <w:pageBreakBefore w:val="0"/>
        <w:kinsoku/>
        <w:wordWrap w:val="0"/>
        <w:topLinePunct w:val="0"/>
        <w:bidi w:val="0"/>
        <w:adjustRightInd w:val="0"/>
        <w:snapToGrid w:val="0"/>
        <w:spacing w:line="520" w:lineRule="exact"/>
        <w:ind w:left="602"/>
        <w:rPr>
          <w:rFonts w:ascii="Times New Roman" w:hAnsi="Times New Roman" w:eastAsia="楷体_GB2312" w:cs="Times New Roman"/>
          <w:b/>
          <w:bCs/>
          <w:sz w:val="32"/>
          <w:szCs w:val="32"/>
          <w:highlight w:val="yellow"/>
        </w:rPr>
      </w:pPr>
      <w:r>
        <w:rPr>
          <w:rFonts w:ascii="Times New Roman" w:hAnsi="Times New Roman" w:eastAsia="楷体_GB2312" w:cs="Times New Roman"/>
          <w:b/>
          <w:bCs/>
          <w:sz w:val="32"/>
          <w:szCs w:val="32"/>
        </w:rPr>
        <w:t>（三）优秀微课</w:t>
      </w:r>
    </w:p>
    <w:p>
      <w:pPr>
        <w:keepNext w:val="0"/>
        <w:keepLines w:val="0"/>
        <w:pageBreakBefore w:val="0"/>
        <w:kinsoku/>
        <w:wordWrap w:val="0"/>
        <w:topLinePunct w:val="0"/>
        <w:bidi w:val="0"/>
        <w:adjustRightInd w:val="0"/>
        <w:snapToGrid w:val="0"/>
        <w:spacing w:line="52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应围绕日常工作实践或学习教育中的常见、典型、有代表性的场景、要点或环节进行课堂设计，能够有效解决思政工作中的重点、难点、疑点问题。作品要贴近师生思想、学习、工作和生活实际，在思想融入、情景设计、表达演绎、拍摄制作等方面具有较高的水平。标题简洁，目标明确，有个性和特色，作品片长不超过15分钟；画质清晰，声音清楚，提倡标注字幕。每件作品作者限3人以内。</w:t>
      </w:r>
    </w:p>
    <w:p>
      <w:pPr>
        <w:keepNext w:val="0"/>
        <w:keepLines w:val="0"/>
        <w:pageBreakBefore w:val="0"/>
        <w:kinsoku/>
        <w:wordWrap w:val="0"/>
        <w:topLinePunct w:val="0"/>
        <w:bidi w:val="0"/>
        <w:adjustRightInd w:val="0"/>
        <w:snapToGrid w:val="0"/>
        <w:spacing w:line="520" w:lineRule="exact"/>
        <w:ind w:left="602"/>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（四）优秀新媒体作品</w:t>
      </w:r>
    </w:p>
    <w:p>
      <w:pPr>
        <w:keepNext w:val="0"/>
        <w:keepLines w:val="0"/>
        <w:pageBreakBefore w:val="0"/>
        <w:kinsoku/>
        <w:wordWrap w:val="0"/>
        <w:topLinePunct w:val="0"/>
        <w:bidi w:val="0"/>
        <w:adjustRightInd w:val="0"/>
        <w:snapToGrid w:val="0"/>
        <w:spacing w:line="52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高校运用新媒体手段进行的宣传报道、经验分享及成果展示等，在网络上有较大影响力，有较高的转发、评论和引用量，体现高校在思想政治工作中的创新方式方法。作品包括短视频、微电影、公益广告、校园MV、音频、H5作品、图解、漫画、长图及动图等。</w:t>
      </w:r>
    </w:p>
    <w:p>
      <w:pPr>
        <w:keepNext w:val="0"/>
        <w:keepLines w:val="0"/>
        <w:pageBreakBefore w:val="0"/>
        <w:kinsoku/>
        <w:wordWrap w:val="0"/>
        <w:topLinePunct w:val="0"/>
        <w:bidi w:val="0"/>
        <w:adjustRightInd w:val="0"/>
        <w:snapToGrid w:val="0"/>
        <w:spacing w:line="52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视频类作品，片长不超过10分钟，</w:t>
      </w:r>
      <w:r>
        <w:rPr>
          <w:rFonts w:ascii="Times New Roman" w:hAnsi="Times New Roman" w:eastAsia="仿宋_GB2312" w:cs="Times New Roman"/>
          <w:sz w:val="32"/>
          <w:szCs w:val="32"/>
        </w:rPr>
        <w:t>文件格式为MP4，</w:t>
      </w:r>
      <w:r>
        <w:rPr>
          <w:rFonts w:ascii="Times New Roman" w:hAnsi="Times New Roman" w:eastAsia="仿宋_GB2312" w:cs="Times New Roman"/>
          <w:color w:val="000000"/>
          <w:kern w:val="0"/>
          <w:sz w:val="32"/>
          <w:szCs w:val="32"/>
        </w:rPr>
        <w:t>画质清晰，声音清楚，提倡标注字幕。图解类、长图类、漫画类作品，提交图片文件，JPEG格式。动图类作品，提交图片文件，GIF格式。H5页面类作品，提交网络链接。音频类作品，时长不超过5分钟，格式统一为MP3，以Word形式提供音频文字，保证音质清晰流畅，有听觉美感，可根据需要配音效或进行其他后期制作。每件作品作者限6人以内。</w:t>
      </w:r>
    </w:p>
    <w:p>
      <w:pPr>
        <w:keepNext w:val="0"/>
        <w:keepLines w:val="0"/>
        <w:pageBreakBefore w:val="0"/>
        <w:widowControl w:val="0"/>
        <w:kinsoku/>
        <w:wordWrap w:val="0"/>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黑体" w:cs="Times New Roman"/>
          <w:b w:val="0"/>
          <w:bCs w:val="0"/>
          <w:color w:val="000000"/>
          <w:sz w:val="32"/>
          <w:szCs w:val="32"/>
          <w:highlight w:val="none"/>
          <w:lang w:eastAsia="zh-CN"/>
        </w:rPr>
      </w:pPr>
      <w:r>
        <w:rPr>
          <w:rFonts w:hint="eastAsia" w:ascii="Times New Roman" w:hAnsi="Times New Roman" w:eastAsia="黑体" w:cs="Times New Roman"/>
          <w:b w:val="0"/>
          <w:bCs w:val="0"/>
          <w:color w:val="000000"/>
          <w:sz w:val="32"/>
          <w:szCs w:val="32"/>
          <w:highlight w:val="none"/>
          <w:lang w:eastAsia="zh-CN"/>
        </w:rPr>
        <w:t>二</w:t>
      </w:r>
      <w:r>
        <w:rPr>
          <w:rFonts w:ascii="Times New Roman" w:hAnsi="Times New Roman" w:eastAsia="黑体" w:cs="Times New Roman"/>
          <w:b w:val="0"/>
          <w:bCs w:val="0"/>
          <w:color w:val="000000"/>
          <w:sz w:val="32"/>
          <w:szCs w:val="32"/>
          <w:highlight w:val="none"/>
        </w:rPr>
        <w:t>、</w:t>
      </w:r>
      <w:r>
        <w:rPr>
          <w:rFonts w:hint="eastAsia" w:ascii="Times New Roman" w:hAnsi="Times New Roman" w:eastAsia="黑体" w:cs="Times New Roman"/>
          <w:b w:val="0"/>
          <w:bCs w:val="0"/>
          <w:color w:val="000000"/>
          <w:sz w:val="32"/>
          <w:szCs w:val="32"/>
          <w:highlight w:val="none"/>
          <w:lang w:eastAsia="zh-CN"/>
        </w:rPr>
        <w:t>申报办法</w:t>
      </w:r>
    </w:p>
    <w:p>
      <w:pPr>
        <w:keepNext w:val="0"/>
        <w:keepLines w:val="0"/>
        <w:pageBreakBefore w:val="0"/>
        <w:widowControl w:val="0"/>
        <w:kinsoku/>
        <w:wordWrap w:val="0"/>
        <w:overflowPunct/>
        <w:topLinePunct w:val="0"/>
        <w:autoSpaceDE/>
        <w:autoSpaceDN/>
        <w:bidi w:val="0"/>
        <w:adjustRightInd w:val="0"/>
        <w:snapToGrid w:val="0"/>
        <w:spacing w:line="520" w:lineRule="exact"/>
        <w:ind w:left="602"/>
        <w:textAlignment w:val="auto"/>
        <w:rPr>
          <w:rFonts w:hint="eastAsia" w:ascii="Times New Roman" w:hAnsi="Times New Roman" w:eastAsia="楷体_GB2312" w:cs="Times New Roman"/>
          <w:b w:val="0"/>
          <w:bCs w:val="0"/>
          <w:sz w:val="32"/>
          <w:szCs w:val="32"/>
          <w:highlight w:val="none"/>
        </w:rPr>
      </w:pPr>
      <w:r>
        <w:rPr>
          <w:rFonts w:hint="eastAsia" w:ascii="Times New Roman" w:hAnsi="Times New Roman" w:eastAsia="楷体_GB2312" w:cs="Times New Roman"/>
          <w:b w:val="0"/>
          <w:bCs w:val="0"/>
          <w:sz w:val="32"/>
          <w:szCs w:val="32"/>
          <w:highlight w:val="none"/>
        </w:rPr>
        <w:t>（一）申报数量</w:t>
      </w:r>
    </w:p>
    <w:p>
      <w:pPr>
        <w:keepNext w:val="0"/>
        <w:keepLines w:val="0"/>
        <w:pageBreakBefore w:val="0"/>
        <w:widowControl w:val="0"/>
        <w:kinsoku/>
        <w:wordWrap w:val="0"/>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仿宋_GB2312" w:cs="Times New Roman"/>
          <w:b w:val="0"/>
          <w:bCs w:val="0"/>
          <w:color w:val="000000"/>
          <w:kern w:val="0"/>
          <w:sz w:val="32"/>
          <w:szCs w:val="32"/>
          <w:highlight w:val="none"/>
        </w:rPr>
      </w:pPr>
      <w:r>
        <w:rPr>
          <w:rFonts w:hint="eastAsia" w:ascii="Times New Roman" w:hAnsi="Times New Roman" w:eastAsia="仿宋_GB2312" w:cs="Times New Roman"/>
          <w:b w:val="0"/>
          <w:bCs w:val="0"/>
          <w:color w:val="000000"/>
          <w:kern w:val="0"/>
          <w:sz w:val="32"/>
          <w:szCs w:val="32"/>
          <w:highlight w:val="none"/>
        </w:rPr>
        <w:t>每所学校</w:t>
      </w:r>
      <w:r>
        <w:rPr>
          <w:rFonts w:hint="eastAsia" w:ascii="Times New Roman" w:hAnsi="Times New Roman" w:eastAsia="仿宋_GB2312" w:cs="Times New Roman"/>
          <w:b w:val="0"/>
          <w:bCs w:val="0"/>
          <w:color w:val="000000"/>
          <w:kern w:val="0"/>
          <w:sz w:val="32"/>
          <w:szCs w:val="32"/>
          <w:highlight w:val="none"/>
          <w:lang w:eastAsia="zh-CN"/>
        </w:rPr>
        <w:t>四</w:t>
      </w:r>
      <w:r>
        <w:rPr>
          <w:rFonts w:hint="eastAsia" w:ascii="Times New Roman" w:hAnsi="Times New Roman" w:eastAsia="仿宋_GB2312" w:cs="Times New Roman"/>
          <w:b w:val="0"/>
          <w:bCs w:val="0"/>
          <w:color w:val="000000"/>
          <w:kern w:val="0"/>
          <w:sz w:val="32"/>
          <w:szCs w:val="32"/>
          <w:highlight w:val="none"/>
        </w:rPr>
        <w:t>类作品各限</w:t>
      </w:r>
      <w:r>
        <w:rPr>
          <w:rFonts w:hint="eastAsia" w:ascii="仿宋_GB2312" w:hAnsi="仿宋_GB2312" w:eastAsia="仿宋_GB2312" w:cs="仿宋_GB2312"/>
          <w:b w:val="0"/>
          <w:bCs w:val="0"/>
          <w:color w:val="000000"/>
          <w:kern w:val="0"/>
          <w:sz w:val="32"/>
          <w:szCs w:val="32"/>
          <w:highlight w:val="none"/>
        </w:rPr>
        <w:t>报20件。</w:t>
      </w:r>
    </w:p>
    <w:p>
      <w:pPr>
        <w:keepNext w:val="0"/>
        <w:keepLines w:val="0"/>
        <w:pageBreakBefore w:val="0"/>
        <w:widowControl w:val="0"/>
        <w:kinsoku/>
        <w:wordWrap w:val="0"/>
        <w:overflowPunct/>
        <w:topLinePunct w:val="0"/>
        <w:autoSpaceDE/>
        <w:autoSpaceDN/>
        <w:bidi w:val="0"/>
        <w:adjustRightInd w:val="0"/>
        <w:snapToGrid w:val="0"/>
        <w:spacing w:line="520" w:lineRule="exact"/>
        <w:ind w:left="602"/>
        <w:textAlignment w:val="auto"/>
        <w:rPr>
          <w:rFonts w:hint="eastAsia" w:ascii="Times New Roman" w:hAnsi="Times New Roman" w:eastAsia="楷体_GB2312" w:cs="Times New Roman"/>
          <w:b w:val="0"/>
          <w:bCs w:val="0"/>
          <w:sz w:val="32"/>
          <w:szCs w:val="32"/>
          <w:highlight w:val="none"/>
        </w:rPr>
      </w:pPr>
      <w:r>
        <w:rPr>
          <w:rFonts w:hint="eastAsia" w:ascii="Times New Roman" w:hAnsi="Times New Roman" w:eastAsia="楷体_GB2312" w:cs="Times New Roman"/>
          <w:b w:val="0"/>
          <w:bCs w:val="0"/>
          <w:sz w:val="32"/>
          <w:szCs w:val="32"/>
          <w:highlight w:val="none"/>
        </w:rPr>
        <w:t>（二）材料报送</w:t>
      </w:r>
    </w:p>
    <w:p>
      <w:pPr>
        <w:keepNext w:val="0"/>
        <w:keepLines w:val="0"/>
        <w:pageBreakBefore w:val="0"/>
        <w:kinsoku/>
        <w:wordWrap w:val="0"/>
        <w:topLinePunct w:val="0"/>
        <w:bidi w:val="0"/>
        <w:adjustRightInd w:val="0"/>
        <w:snapToGrid w:val="0"/>
        <w:spacing w:line="520" w:lineRule="exact"/>
        <w:ind w:firstLine="601"/>
        <w:rPr>
          <w:rFonts w:hint="eastAsia" w:ascii="仿宋_GB2312" w:hAnsi="Times New Roman" w:eastAsia="仿宋_GB2312" w:cs="Times New Roman"/>
          <w:b w:val="0"/>
          <w:bCs/>
          <w:sz w:val="32"/>
          <w:szCs w:val="32"/>
          <w:highlight w:val="none"/>
          <w:lang w:val="en-US" w:eastAsia="zh-CN"/>
        </w:rPr>
      </w:pPr>
      <w:r>
        <w:rPr>
          <w:rFonts w:hint="eastAsia" w:ascii="仿宋_GB2312" w:hAnsi="Times New Roman" w:eastAsia="仿宋_GB2312" w:cs="Times New Roman"/>
          <w:b w:val="0"/>
          <w:bCs/>
          <w:sz w:val="32"/>
          <w:szCs w:val="32"/>
          <w:highlight w:val="none"/>
          <w:lang w:val="en-US" w:eastAsia="zh-CN"/>
        </w:rPr>
        <w:t>各二级学院或相关职能部处负责组织本单位作品遴选申报工作。作品作者</w:t>
      </w:r>
      <w:r>
        <w:rPr>
          <w:rFonts w:hint="eastAsia" w:ascii="仿宋_GB2312" w:hAnsi="Times New Roman" w:eastAsia="仿宋_GB2312" w:cs="Times New Roman"/>
          <w:sz w:val="32"/>
          <w:szCs w:val="32"/>
          <w:highlight w:val="none"/>
          <w:lang w:eastAsia="zh-CN"/>
        </w:rPr>
        <w:t>于</w:t>
      </w:r>
      <w:r>
        <w:rPr>
          <w:rFonts w:hint="eastAsia" w:ascii="仿宋_GB2312" w:hAnsi="Times New Roman" w:eastAsia="仿宋_GB2312" w:cs="Times New Roman"/>
          <w:sz w:val="32"/>
          <w:szCs w:val="32"/>
          <w:highlight w:val="none"/>
          <w:lang w:val="en-US" w:eastAsia="zh-CN"/>
        </w:rPr>
        <w:t>2023年12月24日（星期日）前</w:t>
      </w:r>
      <w:r>
        <w:rPr>
          <w:rFonts w:hint="eastAsia" w:ascii="仿宋_GB2312" w:hAnsi="Times New Roman" w:eastAsia="仿宋_GB2312" w:cs="Times New Roman"/>
          <w:b w:val="0"/>
          <w:bCs/>
          <w:sz w:val="32"/>
          <w:szCs w:val="32"/>
          <w:highlight w:val="none"/>
          <w:lang w:val="en-US" w:eastAsia="zh-CN"/>
        </w:rPr>
        <w:t>使用本人易班账号或手机号注册账号，登录上海教育系统网络文化作品征集展示平台（https://shwlwh.yiban.cn），按照系统要求选择作品类别，填写信息并上传作品，详见网站公告栏操作说明。作品须承诺版权，所有作品提交时确保信息完整、无误，后期作品名称、作者及指导教师姓名等均不予以修改。</w:t>
      </w:r>
    </w:p>
    <w:p>
      <w:pPr>
        <w:keepNext w:val="0"/>
        <w:keepLines w:val="0"/>
        <w:pageBreakBefore w:val="0"/>
        <w:kinsoku/>
        <w:wordWrap w:val="0"/>
        <w:topLinePunct w:val="0"/>
        <w:bidi w:val="0"/>
        <w:adjustRightInd w:val="0"/>
        <w:snapToGrid w:val="0"/>
        <w:spacing w:line="520" w:lineRule="exact"/>
        <w:ind w:firstLine="601"/>
        <w:rPr>
          <w:rFonts w:hint="eastAsia" w:ascii="仿宋_GB2312" w:hAnsi="Times New Roman" w:eastAsia="仿宋_GB2312" w:cs="Times New Roman"/>
          <w:b w:val="0"/>
          <w:bCs/>
          <w:sz w:val="32"/>
          <w:szCs w:val="32"/>
          <w:highlight w:val="none"/>
          <w:lang w:val="en-US" w:eastAsia="zh-CN"/>
        </w:rPr>
      </w:pPr>
      <w:r>
        <w:rPr>
          <w:rFonts w:hint="eastAsia" w:ascii="仿宋_GB2312" w:hAnsi="Times New Roman" w:eastAsia="仿宋_GB2312" w:cs="Times New Roman"/>
          <w:b w:val="0"/>
          <w:bCs/>
          <w:sz w:val="32"/>
          <w:szCs w:val="32"/>
          <w:highlight w:val="none"/>
          <w:lang w:val="en-US" w:eastAsia="zh-CN"/>
        </w:rPr>
        <w:t>学校遴选审核后统一向上级部门提交。</w:t>
      </w:r>
    </w:p>
    <w:p>
      <w:pPr>
        <w:keepNext w:val="0"/>
        <w:keepLines w:val="0"/>
        <w:pageBreakBefore w:val="0"/>
        <w:widowControl w:val="0"/>
        <w:kinsoku/>
        <w:wordWrap w:val="0"/>
        <w:overflowPunct/>
        <w:topLinePunct w:val="0"/>
        <w:autoSpaceDE/>
        <w:autoSpaceDN/>
        <w:bidi w:val="0"/>
        <w:adjustRightInd w:val="0"/>
        <w:snapToGrid w:val="0"/>
        <w:spacing w:line="520" w:lineRule="exact"/>
        <w:ind w:firstLine="640" w:firstLineChars="200"/>
        <w:textAlignment w:val="auto"/>
        <w:rPr>
          <w:rFonts w:hint="eastAsia"/>
          <w:b w:val="0"/>
          <w:bCs w:val="0"/>
          <w:sz w:val="32"/>
          <w:szCs w:val="32"/>
          <w:highlight w:val="none"/>
          <w:lang w:val="en-US" w:eastAsia="zh-CN"/>
        </w:rPr>
      </w:pPr>
      <w:r>
        <w:rPr>
          <w:rFonts w:hint="eastAsia" w:ascii="Times New Roman" w:hAnsi="Times New Roman" w:eastAsia="仿宋_GB2312" w:cs="Times New Roman"/>
          <w:b w:val="0"/>
          <w:bCs w:val="0"/>
          <w:color w:val="000000"/>
          <w:kern w:val="0"/>
          <w:sz w:val="32"/>
          <w:szCs w:val="32"/>
          <w:highlight w:val="none"/>
        </w:rPr>
        <w:t>所有优秀网络文章、优秀工作案例、优秀微课、优秀新媒体作品可根据实际需要，提供必要的推荐辅助材料（主要是指佐证作品影响力的材料，包括转发及引用率、领导批示、成果鉴定、专家推荐信等），并由</w:t>
      </w:r>
      <w:r>
        <w:rPr>
          <w:rFonts w:hint="eastAsia" w:ascii="Times New Roman" w:hAnsi="Times New Roman" w:eastAsia="仿宋_GB2312" w:cs="Times New Roman"/>
          <w:b w:val="0"/>
          <w:bCs w:val="0"/>
          <w:color w:val="000000"/>
          <w:kern w:val="0"/>
          <w:sz w:val="32"/>
          <w:szCs w:val="32"/>
          <w:highlight w:val="none"/>
          <w:lang w:val="en-US" w:eastAsia="zh-CN"/>
        </w:rPr>
        <w:t>党委宣传部</w:t>
      </w:r>
      <w:r>
        <w:rPr>
          <w:rFonts w:hint="eastAsia" w:ascii="Times New Roman" w:hAnsi="Times New Roman" w:eastAsia="仿宋_GB2312" w:cs="Times New Roman"/>
          <w:b w:val="0"/>
          <w:bCs w:val="0"/>
          <w:color w:val="000000"/>
          <w:kern w:val="0"/>
          <w:sz w:val="32"/>
          <w:szCs w:val="32"/>
          <w:highlight w:val="none"/>
        </w:rPr>
        <w:t>审核盖章。材料严禁作假，一经发现，即取消推选展示资格。</w:t>
      </w:r>
    </w:p>
    <w:p>
      <w:pPr>
        <w:keepNext w:val="0"/>
        <w:keepLines w:val="0"/>
        <w:pageBreakBefore w:val="0"/>
        <w:widowControl w:val="0"/>
        <w:kinsoku/>
        <w:wordWrap w:val="0"/>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Times New Roman" w:hAnsi="Times New Roman" w:eastAsia="黑体" w:cs="Times New Roman"/>
          <w:b w:val="0"/>
          <w:bCs w:val="0"/>
          <w:sz w:val="32"/>
          <w:szCs w:val="32"/>
          <w:highlight w:val="none"/>
          <w:lang w:val="en-US" w:eastAsia="zh-CN"/>
        </w:rPr>
        <w:t>三、联系人及联系方式</w:t>
      </w:r>
    </w:p>
    <w:p>
      <w:pPr>
        <w:keepNext w:val="0"/>
        <w:keepLines w:val="0"/>
        <w:pageBreakBefore w:val="0"/>
        <w:kinsoku/>
        <w:overflowPunct/>
        <w:topLinePunct w:val="0"/>
        <w:autoSpaceDE/>
        <w:autoSpaceDN/>
        <w:bidi w:val="0"/>
        <w:adjustRightInd w:val="0"/>
        <w:snapToGrid w:val="0"/>
        <w:spacing w:line="520" w:lineRule="exact"/>
        <w:ind w:firstLine="640" w:firstLineChars="200"/>
        <w:contextualSpacing/>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1、党委宣传部</w:t>
      </w:r>
    </w:p>
    <w:p>
      <w:pPr>
        <w:keepNext w:val="0"/>
        <w:keepLines w:val="0"/>
        <w:pageBreakBefore w:val="0"/>
        <w:widowControl w:val="0"/>
        <w:kinsoku/>
        <w:overflowPunct/>
        <w:topLinePunct w:val="0"/>
        <w:autoSpaceDE/>
        <w:autoSpaceDN/>
        <w:bidi w:val="0"/>
        <w:adjustRightInd w:val="0"/>
        <w:snapToGrid w:val="0"/>
        <w:spacing w:line="520" w:lineRule="exact"/>
        <w:ind w:firstLine="640" w:firstLineChars="200"/>
        <w:contextualSpacing/>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rPr>
        <w:t>联系人：</w:t>
      </w:r>
      <w:r>
        <w:rPr>
          <w:rFonts w:hint="eastAsia" w:ascii="仿宋_GB2312" w:hAnsi="仿宋_GB2312" w:eastAsia="仿宋_GB2312" w:cs="仿宋_GB2312"/>
          <w:b w:val="0"/>
          <w:bCs w:val="0"/>
          <w:sz w:val="32"/>
          <w:szCs w:val="32"/>
          <w:highlight w:val="none"/>
          <w:lang w:val="en-US" w:eastAsia="zh-CN"/>
        </w:rPr>
        <w:t>章贇</w:t>
      </w:r>
      <w:r>
        <w:rPr>
          <w:rFonts w:hint="eastAsia" w:ascii="仿宋_GB2312" w:hAnsi="仿宋_GB2312" w:eastAsia="仿宋_GB2312" w:cs="仿宋_GB2312"/>
          <w:b w:val="0"/>
          <w:bCs w:val="0"/>
          <w:sz w:val="32"/>
          <w:szCs w:val="32"/>
          <w:highlight w:val="none"/>
        </w:rPr>
        <w:t xml:space="preserve">        手机号码：</w:t>
      </w:r>
      <w:r>
        <w:rPr>
          <w:rFonts w:hint="eastAsia" w:ascii="仿宋_GB2312" w:hAnsi="仿宋_GB2312" w:eastAsia="仿宋_GB2312" w:cs="仿宋_GB2312"/>
          <w:b w:val="0"/>
          <w:bCs w:val="0"/>
          <w:sz w:val="32"/>
          <w:szCs w:val="32"/>
          <w:highlight w:val="none"/>
          <w:lang w:val="en-US" w:eastAsia="zh-CN"/>
        </w:rPr>
        <w:t xml:space="preserve">18918301816 </w:t>
      </w:r>
    </w:p>
    <w:p>
      <w:pPr>
        <w:keepNext w:val="0"/>
        <w:keepLines w:val="0"/>
        <w:pageBreakBefore w:val="0"/>
        <w:kinsoku/>
        <w:overflowPunct/>
        <w:topLinePunct w:val="0"/>
        <w:autoSpaceDE/>
        <w:autoSpaceDN/>
        <w:bidi w:val="0"/>
        <w:adjustRightInd w:val="0"/>
        <w:snapToGrid w:val="0"/>
        <w:spacing w:line="520" w:lineRule="exact"/>
        <w:ind w:firstLine="640" w:firstLineChars="200"/>
        <w:contextualSpacing/>
        <w:textAlignment w:val="auto"/>
        <w:rPr>
          <w:rFonts w:hint="default" w:ascii="仿宋_GB2312" w:hAnsi="仿宋_GB2312" w:eastAsia="仿宋_GB2312" w:cs="仿宋_GB2312"/>
          <w:sz w:val="32"/>
          <w:szCs w:val="32"/>
          <w:highlight w:val="none"/>
          <w:lang w:val="en-US" w:eastAsia="zh-CN"/>
        </w:rPr>
      </w:pPr>
      <w:bookmarkStart w:id="0" w:name="_GoBack"/>
      <w:bookmarkEnd w:id="0"/>
      <w:r>
        <w:rPr>
          <w:rFonts w:hint="eastAsia" w:ascii="仿宋_GB2312" w:hAnsi="仿宋_GB2312" w:eastAsia="仿宋_GB2312" w:cs="仿宋_GB2312"/>
          <w:sz w:val="32"/>
          <w:szCs w:val="32"/>
          <w:highlight w:val="none"/>
          <w:lang w:val="en-US" w:eastAsia="zh-CN"/>
        </w:rPr>
        <w:t>2、学生工作部（处）</w:t>
      </w:r>
    </w:p>
    <w:p>
      <w:pPr>
        <w:keepNext w:val="0"/>
        <w:keepLines w:val="0"/>
        <w:pageBreakBefore w:val="0"/>
        <w:kinsoku/>
        <w:overflowPunct/>
        <w:topLinePunct w:val="0"/>
        <w:autoSpaceDE/>
        <w:autoSpaceDN/>
        <w:bidi w:val="0"/>
        <w:adjustRightInd w:val="0"/>
        <w:snapToGrid w:val="0"/>
        <w:spacing w:line="520" w:lineRule="exact"/>
        <w:ind w:firstLine="640" w:firstLineChars="200"/>
        <w:contextualSpacing/>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联系人：王思绮     手机号码：13818061496 </w:t>
      </w:r>
    </w:p>
    <w:p>
      <w:pPr>
        <w:keepNext w:val="0"/>
        <w:keepLines w:val="0"/>
        <w:pageBreakBefore w:val="0"/>
        <w:kinsoku/>
        <w:overflowPunct/>
        <w:topLinePunct w:val="0"/>
        <w:autoSpaceDE/>
        <w:autoSpaceDN/>
        <w:bidi w:val="0"/>
        <w:adjustRightInd w:val="0"/>
        <w:snapToGrid w:val="0"/>
        <w:spacing w:line="520" w:lineRule="exact"/>
        <w:ind w:firstLine="656" w:firstLineChars="200"/>
        <w:contextualSpacing/>
        <w:textAlignment w:val="auto"/>
        <w:rPr>
          <w:rFonts w:hint="eastAsia" w:eastAsia="仿宋_GB2312"/>
          <w:bCs/>
          <w:spacing w:val="4"/>
          <w:kern w:val="0"/>
          <w:sz w:val="32"/>
          <w:szCs w:val="32"/>
          <w:highlight w:val="none"/>
        </w:rPr>
      </w:pPr>
    </w:p>
    <w:p>
      <w:pPr>
        <w:keepNext w:val="0"/>
        <w:keepLines w:val="0"/>
        <w:pageBreakBefore w:val="0"/>
        <w:widowControl w:val="0"/>
        <w:kinsoku/>
        <w:overflowPunct/>
        <w:topLinePunct w:val="0"/>
        <w:autoSpaceDE/>
        <w:autoSpaceDN/>
        <w:bidi w:val="0"/>
        <w:adjustRightInd w:val="0"/>
        <w:snapToGrid w:val="0"/>
        <w:spacing w:line="520" w:lineRule="exact"/>
        <w:ind w:firstLine="640" w:firstLineChars="200"/>
        <w:contextualSpacing/>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000000"/>
          <w:kern w:val="0"/>
          <w:sz w:val="32"/>
          <w:szCs w:val="32"/>
          <w:highlight w:val="none"/>
        </w:rPr>
      </w:pPr>
    </w:p>
    <w:p>
      <w:pPr>
        <w:keepNext w:val="0"/>
        <w:keepLines w:val="0"/>
        <w:pageBreakBefore w:val="0"/>
        <w:widowControl w:val="0"/>
        <w:kinsoku/>
        <w:wordWrap w:val="0"/>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附件：</w:t>
      </w:r>
    </w:p>
    <w:p>
      <w:pPr>
        <w:keepNext w:val="0"/>
        <w:keepLines w:val="0"/>
        <w:pageBreakBefore w:val="0"/>
        <w:widowControl w:val="0"/>
        <w:kinsoku/>
        <w:wordWrap w:val="0"/>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2-1.上海高校网络教育优秀作品推选展示活动作品创</w:t>
      </w:r>
    </w:p>
    <w:p>
      <w:pPr>
        <w:keepNext w:val="0"/>
        <w:keepLines w:val="0"/>
        <w:pageBreakBefore w:val="0"/>
        <w:widowControl w:val="0"/>
        <w:kinsoku/>
        <w:wordWrap w:val="0"/>
        <w:overflowPunct/>
        <w:topLinePunct w:val="0"/>
        <w:autoSpaceDE/>
        <w:autoSpaceDN/>
        <w:bidi w:val="0"/>
        <w:adjustRightInd w:val="0"/>
        <w:snapToGrid w:val="0"/>
        <w:spacing w:line="520" w:lineRule="exact"/>
        <w:ind w:firstLine="1280" w:firstLineChars="4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作选题指南</w:t>
      </w:r>
    </w:p>
    <w:p>
      <w:pPr>
        <w:keepNext w:val="0"/>
        <w:keepLines w:val="0"/>
        <w:pageBreakBefore w:val="0"/>
        <w:widowControl w:val="0"/>
        <w:kinsoku/>
        <w:wordWrap w:val="0"/>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2-2.上海高校网络教育优秀作品推选展示活动</w:t>
      </w:r>
      <w:r>
        <w:rPr>
          <w:rFonts w:hint="eastAsia" w:ascii="仿宋_GB2312" w:hAnsi="仿宋_GB2312" w:eastAsia="仿宋_GB2312" w:cs="仿宋_GB2312"/>
          <w:color w:val="000000"/>
          <w:kern w:val="0"/>
          <w:sz w:val="32"/>
          <w:szCs w:val="32"/>
          <w:highlight w:val="none"/>
          <w:lang w:eastAsia="zh-CN"/>
        </w:rPr>
        <w:t>作</w:t>
      </w:r>
      <w:r>
        <w:rPr>
          <w:rFonts w:hint="eastAsia" w:ascii="仿宋_GB2312" w:hAnsi="仿宋_GB2312" w:eastAsia="仿宋_GB2312" w:cs="仿宋_GB2312"/>
          <w:color w:val="000000"/>
          <w:kern w:val="0"/>
          <w:sz w:val="32"/>
          <w:szCs w:val="32"/>
          <w:highlight w:val="none"/>
        </w:rPr>
        <w:t>品征</w:t>
      </w:r>
    </w:p>
    <w:p>
      <w:pPr>
        <w:keepNext w:val="0"/>
        <w:keepLines w:val="0"/>
        <w:pageBreakBefore w:val="0"/>
        <w:widowControl w:val="0"/>
        <w:kinsoku/>
        <w:wordWrap w:val="0"/>
        <w:overflowPunct/>
        <w:topLinePunct w:val="0"/>
        <w:autoSpaceDE/>
        <w:autoSpaceDN/>
        <w:bidi w:val="0"/>
        <w:adjustRightInd w:val="0"/>
        <w:snapToGrid w:val="0"/>
        <w:spacing w:line="520" w:lineRule="exact"/>
        <w:ind w:firstLine="1280" w:firstLineChars="4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集信息表</w:t>
      </w:r>
    </w:p>
    <w:p>
      <w:pPr>
        <w:keepNext w:val="0"/>
        <w:keepLines w:val="0"/>
        <w:pageBreakBefore w:val="0"/>
        <w:widowControl w:val="0"/>
        <w:kinsoku/>
        <w:wordWrap w:val="0"/>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2-3.上海高校网络教育优秀作品推选展示活动作品征</w:t>
      </w:r>
    </w:p>
    <w:p>
      <w:pPr>
        <w:keepNext w:val="0"/>
        <w:keepLines w:val="0"/>
        <w:pageBreakBefore w:val="0"/>
        <w:widowControl w:val="0"/>
        <w:kinsoku/>
        <w:wordWrap w:val="0"/>
        <w:overflowPunct/>
        <w:topLinePunct w:val="0"/>
        <w:autoSpaceDE/>
        <w:autoSpaceDN/>
        <w:bidi w:val="0"/>
        <w:adjustRightInd w:val="0"/>
        <w:snapToGrid w:val="0"/>
        <w:spacing w:line="520" w:lineRule="exact"/>
        <w:ind w:firstLine="1280" w:firstLineChars="4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集汇总表</w:t>
      </w:r>
    </w:p>
    <w:p>
      <w:pPr>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br w:type="page"/>
      </w:r>
    </w:p>
    <w:p>
      <w:pPr>
        <w:keepNext w:val="0"/>
        <w:keepLines w:val="0"/>
        <w:pageBreakBefore w:val="0"/>
        <w:widowControl w:val="0"/>
        <w:kinsoku/>
        <w:wordWrap w:val="0"/>
        <w:overflowPunct/>
        <w:topLinePunct w:val="0"/>
        <w:autoSpaceDE/>
        <w:autoSpaceDN/>
        <w:bidi w:val="0"/>
        <w:adjustRightInd w:val="0"/>
        <w:snapToGrid w:val="0"/>
        <w:spacing w:line="520" w:lineRule="exact"/>
        <w:ind w:right="1200"/>
        <w:jc w:val="left"/>
        <w:textAlignment w:val="auto"/>
        <w:rPr>
          <w:rFonts w:hint="eastAsia" w:ascii="Times New Roman" w:hAnsi="Times New Roman" w:eastAsia="仿宋_GB2312" w:cs="Times New Roman"/>
          <w:b/>
          <w:bCs w:val="0"/>
          <w:sz w:val="32"/>
          <w:szCs w:val="32"/>
          <w:highlight w:val="none"/>
          <w:lang w:val="en-US" w:eastAsia="zh-CN"/>
        </w:rPr>
      </w:pPr>
      <w:r>
        <w:rPr>
          <w:rFonts w:hint="eastAsia" w:ascii="黑体" w:hAnsi="黑体" w:eastAsia="黑体" w:cs="黑体"/>
          <w:b w:val="0"/>
          <w:bCs/>
          <w:sz w:val="32"/>
          <w:szCs w:val="32"/>
          <w:highlight w:val="none"/>
          <w:lang w:val="en-US" w:eastAsia="zh-CN"/>
        </w:rPr>
        <w:t>附件2-1</w:t>
      </w:r>
    </w:p>
    <w:p>
      <w:pPr>
        <w:keepNext w:val="0"/>
        <w:keepLines w:val="0"/>
        <w:pageBreakBefore w:val="0"/>
        <w:widowControl w:val="0"/>
        <w:kinsoku/>
        <w:topLinePunct w:val="0"/>
        <w:autoSpaceDE/>
        <w:autoSpaceDN/>
        <w:bidi w:val="0"/>
        <w:adjustRightInd w:val="0"/>
        <w:snapToGrid w:val="0"/>
        <w:spacing w:line="520" w:lineRule="exact"/>
        <w:jc w:val="center"/>
        <w:textAlignment w:val="auto"/>
        <w:rPr>
          <w:rFonts w:hint="eastAsia" w:ascii="方正小标宋简体" w:hAnsi="方正小标宋简体" w:eastAsia="方正小标宋简体" w:cs="方正小标宋简体"/>
          <w:bCs/>
          <w:sz w:val="32"/>
          <w:szCs w:val="32"/>
          <w:highlight w:val="none"/>
        </w:rPr>
      </w:pPr>
      <w:r>
        <w:rPr>
          <w:rFonts w:hint="eastAsia" w:ascii="方正小标宋简体" w:hAnsi="方正小标宋简体" w:eastAsia="方正小标宋简体" w:cs="方正小标宋简体"/>
          <w:bCs/>
          <w:sz w:val="32"/>
          <w:szCs w:val="32"/>
          <w:highlight w:val="none"/>
          <w:lang w:eastAsia="zh-CN"/>
        </w:rPr>
        <w:t>上海</w:t>
      </w:r>
      <w:r>
        <w:rPr>
          <w:rFonts w:hint="eastAsia" w:ascii="方正小标宋简体" w:hAnsi="方正小标宋简体" w:eastAsia="方正小标宋简体" w:cs="方正小标宋简体"/>
          <w:bCs/>
          <w:sz w:val="32"/>
          <w:szCs w:val="32"/>
          <w:highlight w:val="none"/>
        </w:rPr>
        <w:t>高校网络教育优秀作品推选展示活动</w:t>
      </w:r>
    </w:p>
    <w:p>
      <w:pPr>
        <w:keepNext w:val="0"/>
        <w:keepLines w:val="0"/>
        <w:pageBreakBefore w:val="0"/>
        <w:widowControl w:val="0"/>
        <w:kinsoku/>
        <w:topLinePunct w:val="0"/>
        <w:autoSpaceDE/>
        <w:autoSpaceDN/>
        <w:bidi w:val="0"/>
        <w:adjustRightInd w:val="0"/>
        <w:snapToGrid w:val="0"/>
        <w:spacing w:line="520" w:lineRule="exact"/>
        <w:jc w:val="center"/>
        <w:textAlignment w:val="auto"/>
        <w:rPr>
          <w:rFonts w:hint="eastAsia" w:ascii="方正小标宋简体" w:hAnsi="方正小标宋简体" w:eastAsia="方正小标宋简体" w:cs="方正小标宋简体"/>
          <w:bCs/>
          <w:sz w:val="32"/>
          <w:szCs w:val="32"/>
          <w:highlight w:val="none"/>
        </w:rPr>
      </w:pPr>
      <w:r>
        <w:rPr>
          <w:rFonts w:hint="eastAsia" w:ascii="方正小标宋简体" w:hAnsi="方正小标宋简体" w:eastAsia="方正小标宋简体" w:cs="方正小标宋简体"/>
          <w:bCs/>
          <w:sz w:val="32"/>
          <w:szCs w:val="32"/>
          <w:highlight w:val="none"/>
        </w:rPr>
        <w:t>作品创作选题指南</w:t>
      </w:r>
    </w:p>
    <w:p>
      <w:pPr>
        <w:pStyle w:val="13"/>
        <w:keepNext w:val="0"/>
        <w:keepLines w:val="0"/>
        <w:pageBreakBefore w:val="0"/>
        <w:kinsoku/>
        <w:wordWrap w:val="0"/>
        <w:topLinePunct w:val="0"/>
        <w:bidi w:val="0"/>
        <w:adjustRightInd w:val="0"/>
        <w:snapToGrid w:val="0"/>
        <w:spacing w:line="52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学习宣传习近平新时代中国特色社会主义思想，深刻领悟“两个确立”的决定性意义，增强“四个意识”、坚定“四个自信”、做到“两个维护”，对“十个明确”“十四个坚持”“十三个方面成就”蕴含的重大思想观点进行宣传介绍，坚持学思用贯通、知信行统一，做到以学铸魂、以学增智、以学正风、以学促干。</w:t>
      </w:r>
    </w:p>
    <w:p>
      <w:pPr>
        <w:pStyle w:val="13"/>
        <w:keepNext w:val="0"/>
        <w:keepLines w:val="0"/>
        <w:pageBreakBefore w:val="0"/>
        <w:kinsoku/>
        <w:wordWrap w:val="0"/>
        <w:topLinePunct w:val="0"/>
        <w:bidi w:val="0"/>
        <w:adjustRightInd w:val="0"/>
        <w:snapToGrid w:val="0"/>
        <w:spacing w:line="52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学习宣传党的二十大精神，全面准确深入宣传党的二十大报告确立的重大理论观点和重大战略思想，围绕“七个讲清楚”，聚焦贯彻新发展理念、构建新发展格局、推动高质量发展等内容，引导青年学生为全面建设社会主义现代化国家、全面推进中华民族伟大复兴而团结奋斗。</w:t>
      </w:r>
    </w:p>
    <w:p>
      <w:pPr>
        <w:pStyle w:val="13"/>
        <w:keepNext w:val="0"/>
        <w:keepLines w:val="0"/>
        <w:pageBreakBefore w:val="0"/>
        <w:kinsoku/>
        <w:wordWrap w:val="0"/>
        <w:topLinePunct w:val="0"/>
        <w:bidi w:val="0"/>
        <w:adjustRightInd w:val="0"/>
        <w:snapToGrid w:val="0"/>
        <w:spacing w:line="52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sz w:val="32"/>
          <w:szCs w:val="32"/>
        </w:rPr>
        <w:t>3.</w:t>
      </w:r>
      <w:r>
        <w:rPr>
          <w:rFonts w:ascii="Times New Roman" w:hAnsi="Times New Roman" w:eastAsia="仿宋_GB2312" w:cs="Times New Roman"/>
          <w:color w:val="000000"/>
          <w:kern w:val="0"/>
          <w:sz w:val="32"/>
          <w:szCs w:val="32"/>
        </w:rPr>
        <w:t>学习宣传习近平总书记重要讲话精神，结合习近平总书记工作过的重要地方、党的十八大以来习近平总书记国内考察的重要足迹，在寻访实践中重温习近平总书记有关重要论述的精神要义。</w:t>
      </w:r>
    </w:p>
    <w:p>
      <w:pPr>
        <w:pStyle w:val="13"/>
        <w:keepNext w:val="0"/>
        <w:keepLines w:val="0"/>
        <w:pageBreakBefore w:val="0"/>
        <w:kinsoku/>
        <w:wordWrap w:val="0"/>
        <w:topLinePunct w:val="0"/>
        <w:bidi w:val="0"/>
        <w:adjustRightInd w:val="0"/>
        <w:snapToGrid w:val="0"/>
        <w:spacing w:line="520" w:lineRule="exact"/>
        <w:ind w:firstLine="640" w:firstLineChars="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4.学习宣传习近平总书记关于教育的重要论述，结合习近平总书记在学校考察、给师生和教育界致信回信、出席全国高校思想政治工作会议、全国教育大会、学校思想政治理论课教师座谈会、中央人才工作会议、两院院士大会等重要会议时作出的重要指示，围绕实施科教兴国战略、人才强国战略、创新驱动发展战略，引导广大青年学生砥砺成才、担当使命。</w:t>
      </w:r>
    </w:p>
    <w:p>
      <w:pPr>
        <w:pStyle w:val="13"/>
        <w:keepNext w:val="0"/>
        <w:keepLines w:val="0"/>
        <w:pageBreakBefore w:val="0"/>
        <w:kinsoku/>
        <w:wordWrap w:val="0"/>
        <w:topLinePunct w:val="0"/>
        <w:bidi w:val="0"/>
        <w:adjustRightInd w:val="0"/>
        <w:snapToGrid w:val="0"/>
        <w:spacing w:line="52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5学习宣传习近平总书记关于爱国主义教育的重要论述，表达青年学生的爱国之情、强国之志、报国之行。</w:t>
      </w:r>
    </w:p>
    <w:p>
      <w:pPr>
        <w:pStyle w:val="13"/>
        <w:keepNext w:val="0"/>
        <w:keepLines w:val="0"/>
        <w:pageBreakBefore w:val="0"/>
        <w:kinsoku/>
        <w:wordWrap w:val="0"/>
        <w:topLinePunct w:val="0"/>
        <w:bidi w:val="0"/>
        <w:adjustRightInd w:val="0"/>
        <w:snapToGrid w:val="0"/>
        <w:spacing w:line="52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6.学习宣传习近平总书记关于网络强国的重要思想，引导青年大学生守护网络安全，投身信息化、数字化、智能化建设。</w:t>
      </w:r>
    </w:p>
    <w:p>
      <w:pPr>
        <w:pStyle w:val="13"/>
        <w:keepNext w:val="0"/>
        <w:keepLines w:val="0"/>
        <w:pageBreakBefore w:val="0"/>
        <w:kinsoku/>
        <w:wordWrap w:val="0"/>
        <w:topLinePunct w:val="0"/>
        <w:bidi w:val="0"/>
        <w:adjustRightInd w:val="0"/>
        <w:snapToGrid w:val="0"/>
        <w:spacing w:line="520" w:lineRule="exact"/>
        <w:ind w:firstLine="640"/>
        <w:rPr>
          <w:rFonts w:ascii="Times New Roman" w:hAnsi="Times New Roman" w:eastAsia="仿宋_GB2312" w:cs="Times New Roman"/>
          <w:kern w:val="0"/>
          <w:sz w:val="32"/>
          <w:szCs w:val="32"/>
        </w:rPr>
      </w:pPr>
      <w:r>
        <w:rPr>
          <w:rFonts w:ascii="Times New Roman" w:hAnsi="Times New Roman" w:eastAsia="仿宋_GB2312" w:cs="Times New Roman"/>
          <w:color w:val="000000"/>
          <w:kern w:val="0"/>
          <w:sz w:val="32"/>
          <w:szCs w:val="32"/>
        </w:rPr>
        <w:t>7.学习宣传习近平法治思想，弘扬社会主义法治理念、法治精神，培育社会主义法治文化</w:t>
      </w:r>
      <w:r>
        <w:rPr>
          <w:rFonts w:ascii="Times New Roman" w:hAnsi="Times New Roman" w:eastAsia="仿宋_GB2312" w:cs="Times New Roman"/>
          <w:kern w:val="0"/>
          <w:sz w:val="32"/>
          <w:szCs w:val="32"/>
        </w:rPr>
        <w:t>，不断提升法治意识和法治素养，自觉尊法学法守法用法。</w:t>
      </w:r>
    </w:p>
    <w:p>
      <w:pPr>
        <w:keepNext w:val="0"/>
        <w:keepLines w:val="0"/>
        <w:pageBreakBefore w:val="0"/>
        <w:kinsoku/>
        <w:topLinePunct w:val="0"/>
        <w:bidi w:val="0"/>
        <w:adjustRightInd w:val="0"/>
        <w:snapToGri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rPr>
        <w:t>8.深入开展以党史为重点的“四史”宣传教育，</w:t>
      </w:r>
      <w:r>
        <w:rPr>
          <w:rFonts w:ascii="Times New Roman" w:hAnsi="Times New Roman" w:eastAsia="仿宋_GB2312" w:cs="Times New Roman"/>
          <w:sz w:val="32"/>
          <w:szCs w:val="32"/>
        </w:rPr>
        <w:t>学习宣传中国共产党人的精神谱系，弘扬伟大建党精神，用好红色资源，发扬红色传统，传承红色基因，赓续共产党人精神血脉。</w:t>
      </w:r>
    </w:p>
    <w:p>
      <w:pPr>
        <w:pStyle w:val="13"/>
        <w:keepNext w:val="0"/>
        <w:keepLines w:val="0"/>
        <w:pageBreakBefore w:val="0"/>
        <w:kinsoku/>
        <w:wordWrap w:val="0"/>
        <w:topLinePunct w:val="0"/>
        <w:bidi w:val="0"/>
        <w:adjustRightInd w:val="0"/>
        <w:snapToGrid w:val="0"/>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9.学习弘扬中华优秀传统文化、革命文化、社会主义先进文化，践行社会主义核心价值观。</w:t>
      </w:r>
    </w:p>
    <w:p>
      <w:pPr>
        <w:keepNext w:val="0"/>
        <w:keepLines w:val="0"/>
        <w:pageBreakBefore w:val="0"/>
        <w:kinsoku/>
        <w:topLinePunct w:val="0"/>
        <w:bidi w:val="0"/>
        <w:adjustRightInd w:val="0"/>
        <w:snapToGrid w:val="0"/>
        <w:spacing w:line="52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10.开展国家安全教育，</w:t>
      </w:r>
      <w:r>
        <w:rPr>
          <w:rFonts w:ascii="Times New Roman" w:hAnsi="Times New Roman" w:eastAsia="仿宋_GB2312" w:cs="Times New Roman"/>
          <w:sz w:val="32"/>
          <w:szCs w:val="32"/>
        </w:rPr>
        <w:t>树牢总体国家安全观，</w:t>
      </w:r>
      <w:r>
        <w:rPr>
          <w:rFonts w:ascii="Times New Roman" w:hAnsi="Times New Roman" w:eastAsia="仿宋_GB2312" w:cs="Times New Roman"/>
          <w:sz w:val="32"/>
          <w:szCs w:val="32"/>
          <w:lang w:eastAsia="zh-Hans"/>
        </w:rPr>
        <w:t>从政治安全、</w:t>
      </w:r>
      <w:r>
        <w:rPr>
          <w:rFonts w:ascii="Times New Roman" w:hAnsi="Times New Roman" w:eastAsia="仿宋_GB2312" w:cs="Times New Roman"/>
          <w:sz w:val="32"/>
          <w:szCs w:val="32"/>
        </w:rPr>
        <w:t>社会安全、</w:t>
      </w:r>
      <w:r>
        <w:rPr>
          <w:rFonts w:ascii="Times New Roman" w:hAnsi="Times New Roman" w:eastAsia="仿宋_GB2312" w:cs="Times New Roman"/>
          <w:sz w:val="32"/>
          <w:szCs w:val="32"/>
          <w:lang w:eastAsia="zh-Hans"/>
        </w:rPr>
        <w:t>网络安全、科技安全、生态安全、生物安全</w:t>
      </w:r>
      <w:r>
        <w:rPr>
          <w:rFonts w:ascii="Times New Roman" w:hAnsi="Times New Roman" w:eastAsia="仿宋_GB2312" w:cs="Times New Roman"/>
          <w:sz w:val="32"/>
          <w:szCs w:val="32"/>
        </w:rPr>
        <w:t>及反</w:t>
      </w:r>
      <w:r>
        <w:rPr>
          <w:rFonts w:hint="eastAsia" w:ascii="Times New Roman" w:hAnsi="Times New Roman" w:eastAsia="仿宋_GB2312" w:cs="Times New Roman"/>
          <w:sz w:val="32"/>
          <w:szCs w:val="32"/>
        </w:rPr>
        <w:t>间</w:t>
      </w:r>
      <w:r>
        <w:rPr>
          <w:rFonts w:ascii="Times New Roman" w:hAnsi="Times New Roman" w:eastAsia="仿宋_GB2312" w:cs="Times New Roman"/>
          <w:sz w:val="32"/>
          <w:szCs w:val="32"/>
        </w:rPr>
        <w:t>防谍、反恐防恐、反邪教</w:t>
      </w:r>
      <w:r>
        <w:rPr>
          <w:rFonts w:ascii="Times New Roman" w:hAnsi="Times New Roman" w:eastAsia="仿宋_GB2312" w:cs="Times New Roman"/>
          <w:sz w:val="32"/>
          <w:szCs w:val="32"/>
          <w:lang w:eastAsia="zh-Hans"/>
        </w:rPr>
        <w:t>等方面阐释</w:t>
      </w:r>
      <w:r>
        <w:rPr>
          <w:rFonts w:ascii="Times New Roman" w:hAnsi="Times New Roman" w:eastAsia="仿宋_GB2312" w:cs="Times New Roman"/>
          <w:color w:val="000000"/>
          <w:kern w:val="0"/>
          <w:sz w:val="32"/>
          <w:szCs w:val="32"/>
        </w:rPr>
        <w:t>国家安全教育的重要性，自觉维护国家安全。</w:t>
      </w:r>
    </w:p>
    <w:p>
      <w:pPr>
        <w:keepNext w:val="0"/>
        <w:keepLines w:val="0"/>
        <w:pageBreakBefore w:val="0"/>
        <w:kinsoku/>
        <w:overflowPunct w:val="0"/>
        <w:topLinePunct w:val="0"/>
        <w:bidi w:val="0"/>
        <w:adjustRightInd w:val="0"/>
        <w:snapToGrid w:val="0"/>
        <w:spacing w:line="520" w:lineRule="exact"/>
        <w:ind w:firstLine="640" w:firstLineChars="200"/>
        <w:rPr>
          <w:rFonts w:ascii="Times New Roman" w:hAnsi="Times New Roman" w:cs="Times New Roman"/>
          <w:sz w:val="32"/>
          <w:szCs w:val="32"/>
        </w:rPr>
      </w:pPr>
      <w:r>
        <w:rPr>
          <w:rFonts w:ascii="Times New Roman" w:hAnsi="Times New Roman" w:eastAsia="仿宋_GB2312" w:cs="Times New Roman"/>
          <w:color w:val="000000"/>
          <w:kern w:val="0"/>
          <w:sz w:val="32"/>
          <w:szCs w:val="32"/>
        </w:rPr>
        <w:t>11.开展</w:t>
      </w:r>
      <w:r>
        <w:rPr>
          <w:rFonts w:ascii="Times New Roman" w:hAnsi="Times New Roman" w:eastAsia="仿宋_GB2312" w:cs="Times New Roman"/>
          <w:sz w:val="32"/>
          <w:szCs w:val="32"/>
        </w:rPr>
        <w:t>网络文明教育，</w:t>
      </w:r>
      <w:r>
        <w:rPr>
          <w:rFonts w:ascii="Times New Roman" w:hAnsi="Times New Roman" w:eastAsia="仿宋_GB2312" w:cs="Times New Roman"/>
          <w:color w:val="000000"/>
          <w:kern w:val="0"/>
          <w:sz w:val="32"/>
          <w:szCs w:val="32"/>
        </w:rPr>
        <w:t>倡导文明理性健康上网，提升网络素养，增强辨别是非的能力，</w:t>
      </w:r>
      <w:r>
        <w:rPr>
          <w:rFonts w:ascii="Times New Roman" w:hAnsi="Times New Roman" w:eastAsia="仿宋_GB2312" w:cs="Times New Roman"/>
          <w:kern w:val="0"/>
          <w:sz w:val="32"/>
          <w:szCs w:val="32"/>
        </w:rPr>
        <w:t>积极参与网络文明建设</w:t>
      </w:r>
      <w:r>
        <w:rPr>
          <w:rFonts w:ascii="Times New Roman" w:hAnsi="Times New Roman" w:eastAsia="仿宋_GB2312" w:cs="Times New Roman"/>
          <w:color w:val="000000"/>
          <w:kern w:val="0"/>
          <w:sz w:val="32"/>
          <w:szCs w:val="32"/>
        </w:rPr>
        <w:t>，争做校园好网民，营造清朗网络空间，</w:t>
      </w:r>
      <w:r>
        <w:rPr>
          <w:rFonts w:ascii="Times New Roman" w:hAnsi="Times New Roman" w:eastAsia="仿宋_GB2312" w:cs="Times New Roman"/>
          <w:sz w:val="32"/>
          <w:szCs w:val="32"/>
        </w:rPr>
        <w:t>共建美好网上精神家园。</w:t>
      </w:r>
    </w:p>
    <w:p>
      <w:pPr>
        <w:pStyle w:val="13"/>
        <w:keepNext w:val="0"/>
        <w:keepLines w:val="0"/>
        <w:pageBreakBefore w:val="0"/>
        <w:kinsoku/>
        <w:wordWrap w:val="0"/>
        <w:topLinePunct w:val="0"/>
        <w:bidi w:val="0"/>
        <w:adjustRightInd w:val="0"/>
        <w:snapToGrid w:val="0"/>
        <w:spacing w:line="52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12.落实立德树人根本任务，深入实施“时代新人铸魂工程”，</w:t>
      </w:r>
      <w:r>
        <w:rPr>
          <w:rFonts w:ascii="Times New Roman" w:hAnsi="Times New Roman" w:eastAsia="仿宋_GB2312" w:cs="Times New Roman"/>
          <w:color w:val="000000"/>
          <w:sz w:val="32"/>
          <w:szCs w:val="32"/>
        </w:rPr>
        <w:t>抓好后继有人根本大计，</w:t>
      </w:r>
      <w:r>
        <w:rPr>
          <w:rFonts w:ascii="Times New Roman" w:hAnsi="Times New Roman" w:eastAsia="仿宋_GB2312" w:cs="Times New Roman"/>
          <w:color w:val="000000"/>
          <w:kern w:val="0"/>
          <w:sz w:val="32"/>
          <w:szCs w:val="32"/>
        </w:rPr>
        <w:t>培养担当民族复兴大任的时代新人，提升高校思想政治教育时代性、针对性、科学性的思考和实践。</w:t>
      </w:r>
    </w:p>
    <w:p>
      <w:pPr>
        <w:pStyle w:val="13"/>
        <w:keepNext w:val="0"/>
        <w:keepLines w:val="0"/>
        <w:pageBreakBefore w:val="0"/>
        <w:kinsoku/>
        <w:wordWrap w:val="0"/>
        <w:topLinePunct w:val="0"/>
        <w:bidi w:val="0"/>
        <w:adjustRightInd w:val="0"/>
        <w:snapToGrid w:val="0"/>
        <w:spacing w:line="52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13.推动“三全育人”综合改革，构建高校思想政治工作体系的思考与实践。</w:t>
      </w:r>
    </w:p>
    <w:p>
      <w:pPr>
        <w:pStyle w:val="13"/>
        <w:keepNext w:val="0"/>
        <w:keepLines w:val="0"/>
        <w:pageBreakBefore w:val="0"/>
        <w:kinsoku/>
        <w:wordWrap w:val="0"/>
        <w:topLinePunct w:val="0"/>
        <w:bidi w:val="0"/>
        <w:adjustRightInd w:val="0"/>
        <w:snapToGrid w:val="0"/>
        <w:spacing w:line="52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14.促进教师做学生为学、为事、为人的示范，成为大先生的思考与实践。</w:t>
      </w:r>
    </w:p>
    <w:p>
      <w:pPr>
        <w:pStyle w:val="13"/>
        <w:keepNext w:val="0"/>
        <w:keepLines w:val="0"/>
        <w:pageBreakBefore w:val="0"/>
        <w:kinsoku/>
        <w:wordWrap w:val="0"/>
        <w:topLinePunct w:val="0"/>
        <w:bidi w:val="0"/>
        <w:adjustRightInd w:val="0"/>
        <w:snapToGrid w:val="0"/>
        <w:spacing w:line="52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15.推进思政工作传统优势同信息技术融合，加强网络思政教育，提升网络舆论引导能力，运用互联网技术手段开展思政工作的对策分析。</w:t>
      </w:r>
    </w:p>
    <w:p>
      <w:pPr>
        <w:pStyle w:val="13"/>
        <w:keepNext w:val="0"/>
        <w:keepLines w:val="0"/>
        <w:pageBreakBefore w:val="0"/>
        <w:kinsoku/>
        <w:wordWrap w:val="0"/>
        <w:topLinePunct w:val="0"/>
        <w:bidi w:val="0"/>
        <w:adjustRightInd w:val="0"/>
        <w:snapToGrid w:val="0"/>
        <w:spacing w:line="52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16.开展校园文化建设，实施校园文化提能增效，强化以文化人以文育人，培育优良校风学风。</w:t>
      </w:r>
    </w:p>
    <w:p>
      <w:pPr>
        <w:pStyle w:val="13"/>
        <w:keepNext w:val="0"/>
        <w:keepLines w:val="0"/>
        <w:pageBreakBefore w:val="0"/>
        <w:kinsoku/>
        <w:wordWrap w:val="0"/>
        <w:topLinePunct w:val="0"/>
        <w:bidi w:val="0"/>
        <w:adjustRightInd w:val="0"/>
        <w:snapToGrid w:val="0"/>
        <w:spacing w:line="520" w:lineRule="exact"/>
        <w:ind w:firstLine="64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17.开展大学生心理健康教育，普及心理健康知识，培育理性平和、积极向上的健康心态。</w:t>
      </w:r>
    </w:p>
    <w:p>
      <w:pPr>
        <w:pStyle w:val="13"/>
        <w:keepNext w:val="0"/>
        <w:keepLines w:val="0"/>
        <w:pageBreakBefore w:val="0"/>
        <w:kinsoku/>
        <w:wordWrap w:val="0"/>
        <w:topLinePunct w:val="0"/>
        <w:bidi w:val="0"/>
        <w:adjustRightInd w:val="0"/>
        <w:snapToGrid w:val="0"/>
        <w:spacing w:line="520" w:lineRule="exact"/>
        <w:ind w:firstLine="64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18.开展诚信教育，围绕学习学术、助学贷款、就业求职等方面的问题，提升新时代大学生诚信意识，营造守信良好氛围。</w:t>
      </w:r>
    </w:p>
    <w:p>
      <w:pPr>
        <w:pStyle w:val="13"/>
        <w:keepNext w:val="0"/>
        <w:keepLines w:val="0"/>
        <w:pageBreakBefore w:val="0"/>
        <w:kinsoku/>
        <w:wordWrap w:val="0"/>
        <w:topLinePunct w:val="0"/>
        <w:bidi w:val="0"/>
        <w:adjustRightInd w:val="0"/>
        <w:snapToGrid w:val="0"/>
        <w:spacing w:line="52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19.铸牢中华民族共同体意识，增强听党话、感党恩、跟党走的政治自觉、思想自觉和行动自觉，厚植对中华民族的认同感，构建中华民族共有精神家园。</w:t>
      </w:r>
    </w:p>
    <w:p>
      <w:pPr>
        <w:pStyle w:val="13"/>
        <w:keepNext w:val="0"/>
        <w:keepLines w:val="0"/>
        <w:pageBreakBefore w:val="0"/>
        <w:kinsoku/>
        <w:wordWrap w:val="0"/>
        <w:topLinePunct w:val="0"/>
        <w:bidi w:val="0"/>
        <w:adjustRightInd w:val="0"/>
        <w:snapToGrid w:val="0"/>
        <w:spacing w:line="520" w:lineRule="exact"/>
        <w:ind w:firstLine="64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20.共建和谐、平安、美丽校园，实施“一站式”学生社区综合治理创新，提升广大师生安全感、获得感、幸福感。</w:t>
      </w:r>
    </w:p>
    <w:p>
      <w:pPr>
        <w:pStyle w:val="13"/>
        <w:keepNext w:val="0"/>
        <w:keepLines w:val="0"/>
        <w:pageBreakBefore w:val="0"/>
        <w:kinsoku/>
        <w:wordWrap w:val="0"/>
        <w:topLinePunct w:val="0"/>
        <w:bidi w:val="0"/>
        <w:adjustRightInd w:val="0"/>
        <w:snapToGrid w:val="0"/>
        <w:spacing w:line="520" w:lineRule="exact"/>
        <w:ind w:firstLine="64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21.防范电信网络诈骗，提高反诈防骗能力，提升师生自我防护和遵纪守法意识。</w:t>
      </w:r>
    </w:p>
    <w:p>
      <w:pPr>
        <w:pStyle w:val="13"/>
        <w:keepNext w:val="0"/>
        <w:keepLines w:val="0"/>
        <w:pageBreakBefore w:val="0"/>
        <w:kinsoku/>
        <w:wordWrap w:val="0"/>
        <w:topLinePunct w:val="0"/>
        <w:bidi w:val="0"/>
        <w:adjustRightInd w:val="0"/>
        <w:snapToGrid w:val="0"/>
        <w:spacing w:line="52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22.积极开展绿色环保、</w:t>
      </w:r>
      <w:r>
        <w:rPr>
          <w:rFonts w:ascii="Times New Roman" w:hAnsi="Times New Roman" w:eastAsia="仿宋_GB2312" w:cs="Times New Roman"/>
          <w:color w:val="000000"/>
          <w:kern w:val="0"/>
          <w:sz w:val="32"/>
          <w:szCs w:val="32"/>
          <w:shd w:val="clear" w:color="auto" w:fill="FFFFFF"/>
        </w:rPr>
        <w:t>书香阅读、</w:t>
      </w:r>
      <w:r>
        <w:rPr>
          <w:rFonts w:ascii="Times New Roman" w:hAnsi="Times New Roman" w:eastAsia="仿宋_GB2312" w:cs="Times New Roman"/>
          <w:color w:val="000000"/>
          <w:kern w:val="0"/>
          <w:sz w:val="32"/>
          <w:szCs w:val="32"/>
        </w:rPr>
        <w:t>厉行</w:t>
      </w:r>
      <w:r>
        <w:rPr>
          <w:rFonts w:ascii="Times New Roman" w:hAnsi="Times New Roman" w:eastAsia="仿宋_GB2312" w:cs="Times New Roman"/>
          <w:color w:val="000000"/>
          <w:kern w:val="0"/>
          <w:sz w:val="32"/>
          <w:szCs w:val="32"/>
          <w:shd w:val="clear" w:color="auto" w:fill="FFFFFF"/>
        </w:rPr>
        <w:t>节约</w:t>
      </w:r>
      <w:r>
        <w:rPr>
          <w:rFonts w:ascii="Times New Roman" w:hAnsi="Times New Roman" w:eastAsia="仿宋_GB2312" w:cs="Times New Roman"/>
          <w:color w:val="000000"/>
          <w:kern w:val="0"/>
          <w:sz w:val="32"/>
          <w:szCs w:val="32"/>
        </w:rPr>
        <w:t>、禁毒防艾、</w:t>
      </w:r>
      <w:r>
        <w:rPr>
          <w:rFonts w:hint="eastAsia" w:ascii="Times New Roman" w:hAnsi="Times New Roman" w:eastAsia="仿宋_GB2312" w:cs="Times New Roman"/>
          <w:color w:val="000000"/>
          <w:kern w:val="0"/>
          <w:sz w:val="32"/>
          <w:szCs w:val="32"/>
        </w:rPr>
        <w:t>扫黄打非</w:t>
      </w:r>
      <w:r>
        <w:rPr>
          <w:rFonts w:ascii="Times New Roman" w:hAnsi="Times New Roman" w:eastAsia="仿宋_GB2312" w:cs="Times New Roman"/>
          <w:color w:val="000000"/>
          <w:kern w:val="0"/>
          <w:sz w:val="32"/>
          <w:szCs w:val="32"/>
        </w:rPr>
        <w:t>等公益宣传。</w:t>
      </w:r>
    </w:p>
    <w:p>
      <w:pPr>
        <w:pStyle w:val="13"/>
        <w:keepNext w:val="0"/>
        <w:keepLines w:val="0"/>
        <w:pageBreakBefore w:val="0"/>
        <w:kinsoku/>
        <w:wordWrap w:val="0"/>
        <w:topLinePunct w:val="0"/>
        <w:bidi w:val="0"/>
        <w:adjustRightInd w:val="0"/>
        <w:snapToGrid w:val="0"/>
        <w:spacing w:line="520" w:lineRule="exact"/>
        <w:ind w:firstLine="602"/>
        <w:rPr>
          <w:rFonts w:ascii="Times New Roman" w:hAnsi="Times New Roman" w:cs="Times New Roman"/>
          <w:sz w:val="32"/>
          <w:szCs w:val="32"/>
        </w:rPr>
      </w:pPr>
      <w:r>
        <w:rPr>
          <w:rFonts w:ascii="Times New Roman" w:hAnsi="Times New Roman" w:eastAsia="仿宋_GB2312" w:cs="Times New Roman"/>
          <w:b/>
          <w:bCs/>
          <w:color w:val="000000"/>
          <w:sz w:val="32"/>
          <w:szCs w:val="32"/>
        </w:rPr>
        <w:t>（供创作参考，不限于以上主题）</w:t>
      </w:r>
    </w:p>
    <w:p>
      <w:pPr>
        <w:keepNext w:val="0"/>
        <w:keepLines w:val="0"/>
        <w:pageBreakBefore w:val="0"/>
        <w:kinsoku/>
        <w:topLinePunct w:val="0"/>
        <w:bidi w:val="0"/>
        <w:adjustRightInd w:val="0"/>
        <w:snapToGrid w:val="0"/>
        <w:spacing w:line="520" w:lineRule="exact"/>
        <w:rPr>
          <w:rFonts w:ascii="Times New Roman" w:hAnsi="Times New Roman" w:eastAsia="仿宋_GB2312" w:cs="Times New Roman"/>
          <w:b/>
          <w:kern w:val="0"/>
          <w:sz w:val="32"/>
          <w:szCs w:val="32"/>
        </w:rPr>
      </w:pPr>
    </w:p>
    <w:p>
      <w:pPr>
        <w:keepNext w:val="0"/>
        <w:keepLines w:val="0"/>
        <w:pageBreakBefore w:val="0"/>
        <w:kinsoku/>
        <w:topLinePunct w:val="0"/>
        <w:bidi w:val="0"/>
        <w:adjustRightInd w:val="0"/>
        <w:snapToGrid w:val="0"/>
        <w:spacing w:line="520" w:lineRule="exact"/>
        <w:rPr>
          <w:rFonts w:ascii="Times New Roman" w:hAnsi="Times New Roman" w:eastAsia="黑体" w:cs="Times New Roman"/>
          <w:b/>
          <w:kern w:val="0"/>
          <w:sz w:val="32"/>
          <w:szCs w:val="32"/>
        </w:rPr>
      </w:pPr>
    </w:p>
    <w:p>
      <w:pPr>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br w:type="page"/>
      </w:r>
    </w:p>
    <w:p>
      <w:pPr>
        <w:keepNext w:val="0"/>
        <w:keepLines w:val="0"/>
        <w:pageBreakBefore w:val="0"/>
        <w:widowControl/>
        <w:kinsoku/>
        <w:wordWrap w:val="0"/>
        <w:topLinePunct w:val="0"/>
        <w:autoSpaceDE w:val="0"/>
        <w:autoSpaceDN w:val="0"/>
        <w:bidi w:val="0"/>
        <w:adjustRightInd w:val="0"/>
        <w:snapToGrid w:val="0"/>
        <w:spacing w:line="520" w:lineRule="exact"/>
        <w:jc w:val="left"/>
        <w:textAlignment w:val="auto"/>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附件2-2</w:t>
      </w:r>
    </w:p>
    <w:p>
      <w:pPr>
        <w:keepNext w:val="0"/>
        <w:keepLines w:val="0"/>
        <w:pageBreakBefore w:val="0"/>
        <w:kinsoku/>
        <w:topLinePunct w:val="0"/>
        <w:bidi w:val="0"/>
        <w:adjustRightInd w:val="0"/>
        <w:snapToGrid w:val="0"/>
        <w:spacing w:line="520" w:lineRule="exact"/>
        <w:jc w:val="center"/>
        <w:rPr>
          <w:rFonts w:hint="eastAsia" w:ascii="方正小标宋简体" w:hAnsi="方正小标宋简体" w:eastAsia="方正小标宋简体" w:cs="方正小标宋简体"/>
          <w:bCs/>
          <w:sz w:val="32"/>
          <w:szCs w:val="32"/>
          <w:highlight w:val="none"/>
        </w:rPr>
      </w:pPr>
      <w:r>
        <w:rPr>
          <w:rFonts w:hint="eastAsia" w:ascii="方正小标宋简体" w:hAnsi="方正小标宋简体" w:eastAsia="方正小标宋简体" w:cs="方正小标宋简体"/>
          <w:bCs/>
          <w:sz w:val="32"/>
          <w:szCs w:val="32"/>
          <w:highlight w:val="none"/>
          <w:lang w:eastAsia="zh-CN"/>
        </w:rPr>
        <w:t>上海</w:t>
      </w:r>
      <w:r>
        <w:rPr>
          <w:rFonts w:hint="eastAsia" w:ascii="方正小标宋简体" w:hAnsi="方正小标宋简体" w:eastAsia="方正小标宋简体" w:cs="方正小标宋简体"/>
          <w:bCs/>
          <w:sz w:val="32"/>
          <w:szCs w:val="32"/>
          <w:highlight w:val="none"/>
        </w:rPr>
        <w:t>高校网络教育优秀作品推选展示活动作品</w:t>
      </w:r>
    </w:p>
    <w:p>
      <w:pPr>
        <w:keepNext w:val="0"/>
        <w:keepLines w:val="0"/>
        <w:pageBreakBefore w:val="0"/>
        <w:kinsoku/>
        <w:topLinePunct w:val="0"/>
        <w:bidi w:val="0"/>
        <w:adjustRightInd w:val="0"/>
        <w:snapToGrid w:val="0"/>
        <w:spacing w:line="520" w:lineRule="exact"/>
        <w:jc w:val="center"/>
        <w:rPr>
          <w:rFonts w:hint="eastAsia" w:ascii="方正小标宋简体" w:hAnsi="方正小标宋简体" w:eastAsia="方正小标宋简体" w:cs="方正小标宋简体"/>
          <w:bCs/>
          <w:sz w:val="32"/>
          <w:szCs w:val="32"/>
          <w:highlight w:val="none"/>
        </w:rPr>
      </w:pPr>
      <w:r>
        <w:rPr>
          <w:rFonts w:hint="eastAsia" w:ascii="方正小标宋简体" w:hAnsi="方正小标宋简体" w:eastAsia="方正小标宋简体" w:cs="方正小标宋简体"/>
          <w:bCs/>
          <w:sz w:val="32"/>
          <w:szCs w:val="32"/>
          <w:highlight w:val="none"/>
        </w:rPr>
        <w:t>征集信息表</w:t>
      </w:r>
    </w:p>
    <w:tbl>
      <w:tblPr>
        <w:tblStyle w:val="8"/>
        <w:tblpPr w:leftFromText="180" w:rightFromText="180" w:vertAnchor="text" w:horzAnchor="margin" w:tblpXSpec="center" w:tblpY="205"/>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16"/>
        <w:gridCol w:w="1417"/>
        <w:gridCol w:w="2693"/>
        <w:gridCol w:w="1701"/>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860" w:hRule="atLeast"/>
          <w:jc w:val="center"/>
        </w:trPr>
        <w:tc>
          <w:tcPr>
            <w:tcW w:w="1316" w:type="dxa"/>
            <w:noWrap w:val="0"/>
            <w:tcMar>
              <w:top w:w="0" w:type="dxa"/>
              <w:left w:w="108" w:type="dxa"/>
              <w:bottom w:w="0" w:type="dxa"/>
              <w:right w:w="108" w:type="dxa"/>
            </w:tcMar>
            <w:vAlign w:val="center"/>
          </w:tcPr>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推荐单位</w:t>
            </w:r>
          </w:p>
        </w:tc>
        <w:tc>
          <w:tcPr>
            <w:tcW w:w="7635" w:type="dxa"/>
            <w:gridSpan w:val="4"/>
            <w:noWrap w:val="0"/>
            <w:tcMar>
              <w:top w:w="0" w:type="dxa"/>
              <w:left w:w="108" w:type="dxa"/>
              <w:bottom w:w="0" w:type="dxa"/>
              <w:right w:w="108" w:type="dxa"/>
            </w:tcMar>
            <w:vAlign w:val="center"/>
          </w:tcPr>
          <w:p>
            <w:pPr>
              <w:keepNext w:val="0"/>
              <w:keepLines w:val="0"/>
              <w:pageBreakBefore w:val="0"/>
              <w:widowControl/>
              <w:kinsoku/>
              <w:topLinePunct w:val="0"/>
              <w:bidi w:val="0"/>
              <w:adjustRightInd w:val="0"/>
              <w:snapToGrid w:val="0"/>
              <w:spacing w:line="240" w:lineRule="auto"/>
              <w:jc w:val="left"/>
              <w:rPr>
                <w:rFonts w:hint="eastAsia" w:ascii="仿宋_GB2312" w:hAnsi="仿宋_GB2312" w:eastAsia="仿宋_GB2312" w:cs="仿宋_GB2312"/>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jc w:val="center"/>
        </w:trPr>
        <w:tc>
          <w:tcPr>
            <w:tcW w:w="1316" w:type="dxa"/>
            <w:vMerge w:val="restart"/>
            <w:noWrap w:val="0"/>
            <w:tcMar>
              <w:top w:w="0" w:type="dxa"/>
              <w:left w:w="108" w:type="dxa"/>
              <w:bottom w:w="0" w:type="dxa"/>
              <w:right w:w="108" w:type="dxa"/>
            </w:tcMar>
            <w:vAlign w:val="center"/>
          </w:tcPr>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作者信息</w:t>
            </w:r>
          </w:p>
          <w:p>
            <w:pPr>
              <w:keepNext w:val="0"/>
              <w:keepLines w:val="0"/>
              <w:pageBreakBefore w:val="0"/>
              <w:widowControl/>
              <w:kinsoku/>
              <w:topLinePunct w:val="0"/>
              <w:bidi w:val="0"/>
              <w:adjustRightInd w:val="0"/>
              <w:snapToGrid w:val="0"/>
              <w:spacing w:line="240" w:lineRule="auto"/>
              <w:rPr>
                <w:rFonts w:hint="eastAsia" w:ascii="仿宋_GB2312" w:hAnsi="仿宋_GB2312" w:eastAsia="仿宋_GB2312" w:cs="仿宋_GB2312"/>
                <w:spacing w:val="-12"/>
                <w:kern w:val="0"/>
                <w:sz w:val="28"/>
                <w:szCs w:val="28"/>
                <w:highlight w:val="none"/>
              </w:rPr>
            </w:pPr>
            <w:r>
              <w:rPr>
                <w:rFonts w:hint="eastAsia" w:ascii="仿宋_GB2312" w:hAnsi="仿宋_GB2312" w:eastAsia="仿宋_GB2312" w:cs="仿宋_GB2312"/>
                <w:kern w:val="0"/>
                <w:sz w:val="21"/>
                <w:szCs w:val="21"/>
                <w:highlight w:val="none"/>
              </w:rPr>
              <w:t>（网络文章作者限1人，微课及工作案例作者最多3人，新媒体作品最多6人）</w:t>
            </w:r>
          </w:p>
        </w:tc>
        <w:tc>
          <w:tcPr>
            <w:tcW w:w="1417" w:type="dxa"/>
            <w:noWrap w:val="0"/>
            <w:tcMar>
              <w:top w:w="0" w:type="dxa"/>
              <w:left w:w="108" w:type="dxa"/>
              <w:bottom w:w="0" w:type="dxa"/>
              <w:right w:w="108" w:type="dxa"/>
            </w:tcMar>
            <w:vAlign w:val="center"/>
          </w:tcPr>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姓    名</w:t>
            </w:r>
          </w:p>
        </w:tc>
        <w:tc>
          <w:tcPr>
            <w:tcW w:w="2693" w:type="dxa"/>
            <w:noWrap w:val="0"/>
            <w:tcMar>
              <w:top w:w="0" w:type="dxa"/>
              <w:left w:w="108" w:type="dxa"/>
              <w:bottom w:w="0" w:type="dxa"/>
              <w:right w:w="108" w:type="dxa"/>
            </w:tcMar>
            <w:vAlign w:val="center"/>
          </w:tcPr>
          <w:p>
            <w:pPr>
              <w:keepNext w:val="0"/>
              <w:keepLines w:val="0"/>
              <w:pageBreakBefore w:val="0"/>
              <w:kinsoku/>
              <w:topLinePunct w:val="0"/>
              <w:bidi w:val="0"/>
              <w:adjustRightInd w:val="0"/>
              <w:snapToGrid w:val="0"/>
              <w:spacing w:line="240" w:lineRule="auto"/>
              <w:ind w:left="150"/>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学</w:t>
            </w:r>
            <w:r>
              <w:rPr>
                <w:rFonts w:hint="eastAsia" w:ascii="仿宋_GB2312" w:hAnsi="仿宋_GB2312" w:eastAsia="仿宋_GB2312" w:cs="仿宋_GB2312"/>
                <w:kern w:val="0"/>
                <w:sz w:val="28"/>
                <w:szCs w:val="28"/>
                <w:highlight w:val="none"/>
                <w:lang w:val="en-US" w:eastAsia="zh-CN"/>
              </w:rPr>
              <w:t xml:space="preserve">    </w:t>
            </w:r>
            <w:r>
              <w:rPr>
                <w:rFonts w:hint="eastAsia" w:ascii="仿宋_GB2312" w:hAnsi="仿宋_GB2312" w:eastAsia="仿宋_GB2312" w:cs="仿宋_GB2312"/>
                <w:kern w:val="0"/>
                <w:sz w:val="28"/>
                <w:szCs w:val="28"/>
                <w:highlight w:val="none"/>
              </w:rPr>
              <w:t>校</w:t>
            </w:r>
          </w:p>
        </w:tc>
        <w:tc>
          <w:tcPr>
            <w:tcW w:w="1701" w:type="dxa"/>
            <w:noWrap w:val="0"/>
            <w:tcMar>
              <w:top w:w="0" w:type="dxa"/>
              <w:left w:w="108" w:type="dxa"/>
              <w:bottom w:w="0" w:type="dxa"/>
              <w:right w:w="108" w:type="dxa"/>
            </w:tcMar>
            <w:vAlign w:val="center"/>
          </w:tcPr>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职务/</w:t>
            </w:r>
            <w:r>
              <w:rPr>
                <w:rFonts w:hint="eastAsia" w:ascii="仿宋_GB2312" w:hAnsi="仿宋_GB2312" w:eastAsia="仿宋_GB2312" w:cs="仿宋_GB2312"/>
                <w:kern w:val="0"/>
                <w:sz w:val="28"/>
                <w:szCs w:val="28"/>
                <w:highlight w:val="none"/>
              </w:rPr>
              <w:t>职称</w:t>
            </w:r>
          </w:p>
        </w:tc>
        <w:tc>
          <w:tcPr>
            <w:tcW w:w="1824"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手机</w:t>
            </w:r>
            <w:r>
              <w:rPr>
                <w:rFonts w:hint="eastAsia" w:ascii="仿宋_GB2312" w:hAnsi="仿宋_GB2312" w:eastAsia="仿宋_GB2312" w:cs="仿宋_GB2312"/>
                <w:kern w:val="0"/>
                <w:sz w:val="21"/>
                <w:szCs w:val="21"/>
                <w:highlight w:val="none"/>
              </w:rPr>
              <w:t>（务必作者本人手机</w:t>
            </w:r>
            <w:r>
              <w:rPr>
                <w:rFonts w:hint="eastAsia" w:ascii="仿宋_GB2312" w:hAnsi="仿宋_GB2312" w:eastAsia="仿宋_GB2312" w:cs="仿宋_GB2312"/>
                <w:kern w:val="0"/>
                <w:sz w:val="21"/>
                <w:szCs w:val="21"/>
                <w:highlight w:val="none"/>
                <w:lang w:val="en-US" w:eastAsia="zh-CN"/>
              </w:rPr>
              <w:t>号码</w:t>
            </w:r>
            <w:r>
              <w:rPr>
                <w:rFonts w:hint="eastAsia" w:ascii="仿宋_GB2312" w:hAnsi="仿宋_GB2312" w:eastAsia="仿宋_GB2312" w:cs="仿宋_GB2312"/>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80" w:hRule="atLeast"/>
          <w:jc w:val="center"/>
        </w:trPr>
        <w:tc>
          <w:tcPr>
            <w:tcW w:w="1316" w:type="dxa"/>
            <w:vMerge w:val="continue"/>
            <w:noWrap w:val="0"/>
            <w:vAlign w:val="center"/>
          </w:tcPr>
          <w:p>
            <w:pPr>
              <w:keepNext w:val="0"/>
              <w:keepLines w:val="0"/>
              <w:pageBreakBefore w:val="0"/>
              <w:widowControl/>
              <w:kinsoku/>
              <w:topLinePunct w:val="0"/>
              <w:bidi w:val="0"/>
              <w:adjustRightInd w:val="0"/>
              <w:snapToGrid w:val="0"/>
              <w:spacing w:line="240" w:lineRule="auto"/>
              <w:jc w:val="left"/>
              <w:rPr>
                <w:rFonts w:hint="eastAsia" w:ascii="仿宋_GB2312" w:hAnsi="仿宋_GB2312" w:eastAsia="仿宋_GB2312" w:cs="仿宋_GB2312"/>
                <w:kern w:val="0"/>
                <w:sz w:val="28"/>
                <w:szCs w:val="28"/>
                <w:highlight w:val="none"/>
              </w:rPr>
            </w:pPr>
          </w:p>
        </w:tc>
        <w:tc>
          <w:tcPr>
            <w:tcW w:w="1417" w:type="dxa"/>
            <w:noWrap w:val="0"/>
            <w:tcMar>
              <w:top w:w="0" w:type="dxa"/>
              <w:left w:w="28" w:type="dxa"/>
              <w:bottom w:w="0" w:type="dxa"/>
              <w:right w:w="28" w:type="dxa"/>
            </w:tcMar>
            <w:vAlign w:val="center"/>
          </w:tcPr>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p>
        </w:tc>
        <w:tc>
          <w:tcPr>
            <w:tcW w:w="2693" w:type="dxa"/>
            <w:noWrap w:val="0"/>
            <w:tcMar>
              <w:top w:w="0" w:type="dxa"/>
              <w:left w:w="28" w:type="dxa"/>
              <w:bottom w:w="0" w:type="dxa"/>
              <w:right w:w="28" w:type="dxa"/>
            </w:tcMar>
            <w:vAlign w:val="center"/>
          </w:tcPr>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p>
        </w:tc>
        <w:tc>
          <w:tcPr>
            <w:tcW w:w="1701" w:type="dxa"/>
            <w:noWrap w:val="0"/>
            <w:tcMar>
              <w:top w:w="0" w:type="dxa"/>
              <w:left w:w="28" w:type="dxa"/>
              <w:bottom w:w="0" w:type="dxa"/>
              <w:right w:w="28" w:type="dxa"/>
            </w:tcMar>
            <w:vAlign w:val="center"/>
          </w:tcPr>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p>
        </w:tc>
        <w:tc>
          <w:tcPr>
            <w:tcW w:w="1824" w:type="dxa"/>
            <w:noWrap w:val="0"/>
            <w:tcMar>
              <w:top w:w="0" w:type="dxa"/>
              <w:left w:w="28" w:type="dxa"/>
              <w:bottom w:w="0" w:type="dxa"/>
              <w:right w:w="28" w:type="dxa"/>
            </w:tcMar>
            <w:vAlign w:val="top"/>
          </w:tcPr>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80" w:hRule="atLeast"/>
          <w:jc w:val="center"/>
        </w:trPr>
        <w:tc>
          <w:tcPr>
            <w:tcW w:w="1316" w:type="dxa"/>
            <w:vMerge w:val="continue"/>
            <w:noWrap w:val="0"/>
            <w:vAlign w:val="center"/>
          </w:tcPr>
          <w:p>
            <w:pPr>
              <w:keepNext w:val="0"/>
              <w:keepLines w:val="0"/>
              <w:pageBreakBefore w:val="0"/>
              <w:widowControl/>
              <w:kinsoku/>
              <w:topLinePunct w:val="0"/>
              <w:bidi w:val="0"/>
              <w:adjustRightInd w:val="0"/>
              <w:snapToGrid w:val="0"/>
              <w:spacing w:line="240" w:lineRule="auto"/>
              <w:jc w:val="left"/>
              <w:rPr>
                <w:rFonts w:hint="eastAsia" w:ascii="仿宋_GB2312" w:hAnsi="仿宋_GB2312" w:eastAsia="仿宋_GB2312" w:cs="仿宋_GB2312"/>
                <w:kern w:val="0"/>
                <w:sz w:val="28"/>
                <w:szCs w:val="28"/>
                <w:highlight w:val="none"/>
              </w:rPr>
            </w:pPr>
          </w:p>
        </w:tc>
        <w:tc>
          <w:tcPr>
            <w:tcW w:w="1417" w:type="dxa"/>
            <w:noWrap w:val="0"/>
            <w:tcMar>
              <w:top w:w="0" w:type="dxa"/>
              <w:left w:w="28" w:type="dxa"/>
              <w:bottom w:w="0" w:type="dxa"/>
              <w:right w:w="28" w:type="dxa"/>
            </w:tcMar>
            <w:vAlign w:val="center"/>
          </w:tcPr>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p>
        </w:tc>
        <w:tc>
          <w:tcPr>
            <w:tcW w:w="2693" w:type="dxa"/>
            <w:noWrap w:val="0"/>
            <w:tcMar>
              <w:top w:w="0" w:type="dxa"/>
              <w:left w:w="28" w:type="dxa"/>
              <w:bottom w:w="0" w:type="dxa"/>
              <w:right w:w="28" w:type="dxa"/>
            </w:tcMar>
            <w:vAlign w:val="center"/>
          </w:tcPr>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p>
        </w:tc>
        <w:tc>
          <w:tcPr>
            <w:tcW w:w="1701" w:type="dxa"/>
            <w:noWrap w:val="0"/>
            <w:tcMar>
              <w:top w:w="0" w:type="dxa"/>
              <w:left w:w="28" w:type="dxa"/>
              <w:bottom w:w="0" w:type="dxa"/>
              <w:right w:w="28" w:type="dxa"/>
            </w:tcMar>
            <w:vAlign w:val="center"/>
          </w:tcPr>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p>
        </w:tc>
        <w:tc>
          <w:tcPr>
            <w:tcW w:w="1824" w:type="dxa"/>
            <w:noWrap w:val="0"/>
            <w:tcMar>
              <w:top w:w="0" w:type="dxa"/>
              <w:left w:w="28" w:type="dxa"/>
              <w:bottom w:w="0" w:type="dxa"/>
              <w:right w:w="28" w:type="dxa"/>
            </w:tcMar>
            <w:vAlign w:val="top"/>
          </w:tcPr>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80" w:hRule="atLeast"/>
          <w:jc w:val="center"/>
        </w:trPr>
        <w:tc>
          <w:tcPr>
            <w:tcW w:w="1316" w:type="dxa"/>
            <w:vMerge w:val="continue"/>
            <w:noWrap w:val="0"/>
            <w:vAlign w:val="center"/>
          </w:tcPr>
          <w:p>
            <w:pPr>
              <w:keepNext w:val="0"/>
              <w:keepLines w:val="0"/>
              <w:pageBreakBefore w:val="0"/>
              <w:widowControl/>
              <w:kinsoku/>
              <w:topLinePunct w:val="0"/>
              <w:bidi w:val="0"/>
              <w:adjustRightInd w:val="0"/>
              <w:snapToGrid w:val="0"/>
              <w:spacing w:line="240" w:lineRule="auto"/>
              <w:jc w:val="left"/>
              <w:rPr>
                <w:rFonts w:hint="eastAsia" w:ascii="仿宋_GB2312" w:hAnsi="仿宋_GB2312" w:eastAsia="仿宋_GB2312" w:cs="仿宋_GB2312"/>
                <w:kern w:val="0"/>
                <w:sz w:val="28"/>
                <w:szCs w:val="28"/>
                <w:highlight w:val="none"/>
              </w:rPr>
            </w:pPr>
          </w:p>
        </w:tc>
        <w:tc>
          <w:tcPr>
            <w:tcW w:w="1417" w:type="dxa"/>
            <w:noWrap w:val="0"/>
            <w:tcMar>
              <w:top w:w="0" w:type="dxa"/>
              <w:left w:w="28" w:type="dxa"/>
              <w:bottom w:w="0" w:type="dxa"/>
              <w:right w:w="28" w:type="dxa"/>
            </w:tcMar>
            <w:vAlign w:val="center"/>
          </w:tcPr>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p>
        </w:tc>
        <w:tc>
          <w:tcPr>
            <w:tcW w:w="2693" w:type="dxa"/>
            <w:noWrap w:val="0"/>
            <w:tcMar>
              <w:top w:w="0" w:type="dxa"/>
              <w:left w:w="28" w:type="dxa"/>
              <w:bottom w:w="0" w:type="dxa"/>
              <w:right w:w="28" w:type="dxa"/>
            </w:tcMar>
            <w:vAlign w:val="center"/>
          </w:tcPr>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p>
        </w:tc>
        <w:tc>
          <w:tcPr>
            <w:tcW w:w="1701" w:type="dxa"/>
            <w:noWrap w:val="0"/>
            <w:tcMar>
              <w:top w:w="0" w:type="dxa"/>
              <w:left w:w="28" w:type="dxa"/>
              <w:bottom w:w="0" w:type="dxa"/>
              <w:right w:w="28" w:type="dxa"/>
            </w:tcMar>
            <w:vAlign w:val="center"/>
          </w:tcPr>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p>
        </w:tc>
        <w:tc>
          <w:tcPr>
            <w:tcW w:w="1824" w:type="dxa"/>
            <w:noWrap w:val="0"/>
            <w:tcMar>
              <w:top w:w="0" w:type="dxa"/>
              <w:left w:w="28" w:type="dxa"/>
              <w:bottom w:w="0" w:type="dxa"/>
              <w:right w:w="28" w:type="dxa"/>
            </w:tcMar>
            <w:vAlign w:val="top"/>
          </w:tcPr>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80" w:hRule="atLeast"/>
          <w:jc w:val="center"/>
        </w:trPr>
        <w:tc>
          <w:tcPr>
            <w:tcW w:w="1316" w:type="dxa"/>
            <w:vMerge w:val="continue"/>
            <w:noWrap w:val="0"/>
            <w:vAlign w:val="center"/>
          </w:tcPr>
          <w:p>
            <w:pPr>
              <w:keepNext w:val="0"/>
              <w:keepLines w:val="0"/>
              <w:pageBreakBefore w:val="0"/>
              <w:widowControl/>
              <w:kinsoku/>
              <w:topLinePunct w:val="0"/>
              <w:bidi w:val="0"/>
              <w:adjustRightInd w:val="0"/>
              <w:snapToGrid w:val="0"/>
              <w:spacing w:line="240" w:lineRule="auto"/>
              <w:jc w:val="left"/>
              <w:rPr>
                <w:rFonts w:hint="eastAsia" w:ascii="仿宋_GB2312" w:hAnsi="仿宋_GB2312" w:eastAsia="仿宋_GB2312" w:cs="仿宋_GB2312"/>
                <w:kern w:val="0"/>
                <w:sz w:val="28"/>
                <w:szCs w:val="28"/>
                <w:highlight w:val="none"/>
              </w:rPr>
            </w:pPr>
          </w:p>
        </w:tc>
        <w:tc>
          <w:tcPr>
            <w:tcW w:w="1417" w:type="dxa"/>
            <w:noWrap w:val="0"/>
            <w:tcMar>
              <w:top w:w="0" w:type="dxa"/>
              <w:left w:w="28" w:type="dxa"/>
              <w:bottom w:w="0" w:type="dxa"/>
              <w:right w:w="28" w:type="dxa"/>
            </w:tcMar>
            <w:vAlign w:val="center"/>
          </w:tcPr>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p>
        </w:tc>
        <w:tc>
          <w:tcPr>
            <w:tcW w:w="2693" w:type="dxa"/>
            <w:noWrap w:val="0"/>
            <w:tcMar>
              <w:top w:w="0" w:type="dxa"/>
              <w:left w:w="28" w:type="dxa"/>
              <w:bottom w:w="0" w:type="dxa"/>
              <w:right w:w="28" w:type="dxa"/>
            </w:tcMar>
            <w:vAlign w:val="center"/>
          </w:tcPr>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p>
        </w:tc>
        <w:tc>
          <w:tcPr>
            <w:tcW w:w="1701" w:type="dxa"/>
            <w:noWrap w:val="0"/>
            <w:tcMar>
              <w:top w:w="0" w:type="dxa"/>
              <w:left w:w="28" w:type="dxa"/>
              <w:bottom w:w="0" w:type="dxa"/>
              <w:right w:w="28" w:type="dxa"/>
            </w:tcMar>
            <w:vAlign w:val="center"/>
          </w:tcPr>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p>
        </w:tc>
        <w:tc>
          <w:tcPr>
            <w:tcW w:w="1824" w:type="dxa"/>
            <w:noWrap w:val="0"/>
            <w:tcMar>
              <w:top w:w="0" w:type="dxa"/>
              <w:left w:w="28" w:type="dxa"/>
              <w:bottom w:w="0" w:type="dxa"/>
              <w:right w:w="28" w:type="dxa"/>
            </w:tcMar>
            <w:vAlign w:val="top"/>
          </w:tcPr>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80" w:hRule="atLeast"/>
          <w:jc w:val="center"/>
        </w:trPr>
        <w:tc>
          <w:tcPr>
            <w:tcW w:w="1316" w:type="dxa"/>
            <w:vMerge w:val="continue"/>
            <w:noWrap w:val="0"/>
            <w:vAlign w:val="center"/>
          </w:tcPr>
          <w:p>
            <w:pPr>
              <w:keepNext w:val="0"/>
              <w:keepLines w:val="0"/>
              <w:pageBreakBefore w:val="0"/>
              <w:widowControl/>
              <w:kinsoku/>
              <w:topLinePunct w:val="0"/>
              <w:bidi w:val="0"/>
              <w:adjustRightInd w:val="0"/>
              <w:snapToGrid w:val="0"/>
              <w:spacing w:line="240" w:lineRule="auto"/>
              <w:jc w:val="left"/>
              <w:rPr>
                <w:rFonts w:hint="eastAsia" w:ascii="仿宋_GB2312" w:hAnsi="仿宋_GB2312" w:eastAsia="仿宋_GB2312" w:cs="仿宋_GB2312"/>
                <w:kern w:val="0"/>
                <w:sz w:val="28"/>
                <w:szCs w:val="28"/>
                <w:highlight w:val="none"/>
              </w:rPr>
            </w:pPr>
          </w:p>
        </w:tc>
        <w:tc>
          <w:tcPr>
            <w:tcW w:w="1417" w:type="dxa"/>
            <w:noWrap w:val="0"/>
            <w:tcMar>
              <w:top w:w="0" w:type="dxa"/>
              <w:left w:w="28" w:type="dxa"/>
              <w:bottom w:w="0" w:type="dxa"/>
              <w:right w:w="28" w:type="dxa"/>
            </w:tcMar>
            <w:vAlign w:val="center"/>
          </w:tcPr>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p>
        </w:tc>
        <w:tc>
          <w:tcPr>
            <w:tcW w:w="2693" w:type="dxa"/>
            <w:noWrap w:val="0"/>
            <w:tcMar>
              <w:top w:w="0" w:type="dxa"/>
              <w:left w:w="28" w:type="dxa"/>
              <w:bottom w:w="0" w:type="dxa"/>
              <w:right w:w="28" w:type="dxa"/>
            </w:tcMar>
            <w:vAlign w:val="center"/>
          </w:tcPr>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p>
        </w:tc>
        <w:tc>
          <w:tcPr>
            <w:tcW w:w="1701" w:type="dxa"/>
            <w:noWrap w:val="0"/>
            <w:tcMar>
              <w:top w:w="0" w:type="dxa"/>
              <w:left w:w="28" w:type="dxa"/>
              <w:bottom w:w="0" w:type="dxa"/>
              <w:right w:w="28" w:type="dxa"/>
            </w:tcMar>
            <w:vAlign w:val="center"/>
          </w:tcPr>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p>
        </w:tc>
        <w:tc>
          <w:tcPr>
            <w:tcW w:w="1824" w:type="dxa"/>
            <w:noWrap w:val="0"/>
            <w:tcMar>
              <w:top w:w="0" w:type="dxa"/>
              <w:left w:w="28" w:type="dxa"/>
              <w:bottom w:w="0" w:type="dxa"/>
              <w:right w:w="28" w:type="dxa"/>
            </w:tcMar>
            <w:vAlign w:val="top"/>
          </w:tcPr>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80" w:hRule="atLeast"/>
          <w:jc w:val="center"/>
        </w:trPr>
        <w:tc>
          <w:tcPr>
            <w:tcW w:w="1316" w:type="dxa"/>
            <w:vMerge w:val="continue"/>
            <w:noWrap w:val="0"/>
            <w:vAlign w:val="center"/>
          </w:tcPr>
          <w:p>
            <w:pPr>
              <w:keepNext w:val="0"/>
              <w:keepLines w:val="0"/>
              <w:pageBreakBefore w:val="0"/>
              <w:widowControl/>
              <w:kinsoku/>
              <w:topLinePunct w:val="0"/>
              <w:bidi w:val="0"/>
              <w:adjustRightInd w:val="0"/>
              <w:snapToGrid w:val="0"/>
              <w:spacing w:line="240" w:lineRule="auto"/>
              <w:jc w:val="left"/>
              <w:rPr>
                <w:rFonts w:hint="eastAsia" w:ascii="仿宋_GB2312" w:hAnsi="仿宋_GB2312" w:eastAsia="仿宋_GB2312" w:cs="仿宋_GB2312"/>
                <w:kern w:val="0"/>
                <w:sz w:val="28"/>
                <w:szCs w:val="28"/>
                <w:highlight w:val="none"/>
              </w:rPr>
            </w:pPr>
          </w:p>
        </w:tc>
        <w:tc>
          <w:tcPr>
            <w:tcW w:w="1417" w:type="dxa"/>
            <w:noWrap w:val="0"/>
            <w:tcMar>
              <w:top w:w="0" w:type="dxa"/>
              <w:left w:w="28" w:type="dxa"/>
              <w:bottom w:w="0" w:type="dxa"/>
              <w:right w:w="28" w:type="dxa"/>
            </w:tcMar>
            <w:vAlign w:val="center"/>
          </w:tcPr>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p>
        </w:tc>
        <w:tc>
          <w:tcPr>
            <w:tcW w:w="2693" w:type="dxa"/>
            <w:noWrap w:val="0"/>
            <w:tcMar>
              <w:top w:w="0" w:type="dxa"/>
              <w:left w:w="28" w:type="dxa"/>
              <w:bottom w:w="0" w:type="dxa"/>
              <w:right w:w="28" w:type="dxa"/>
            </w:tcMar>
            <w:vAlign w:val="center"/>
          </w:tcPr>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p>
        </w:tc>
        <w:tc>
          <w:tcPr>
            <w:tcW w:w="1701" w:type="dxa"/>
            <w:noWrap w:val="0"/>
            <w:tcMar>
              <w:top w:w="0" w:type="dxa"/>
              <w:left w:w="28" w:type="dxa"/>
              <w:bottom w:w="0" w:type="dxa"/>
              <w:right w:w="28" w:type="dxa"/>
            </w:tcMar>
            <w:vAlign w:val="center"/>
          </w:tcPr>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p>
        </w:tc>
        <w:tc>
          <w:tcPr>
            <w:tcW w:w="1824" w:type="dxa"/>
            <w:noWrap w:val="0"/>
            <w:tcMar>
              <w:top w:w="0" w:type="dxa"/>
              <w:left w:w="28" w:type="dxa"/>
              <w:bottom w:w="0" w:type="dxa"/>
              <w:right w:w="28" w:type="dxa"/>
            </w:tcMar>
            <w:vAlign w:val="top"/>
          </w:tcPr>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801" w:hRule="atLeast"/>
          <w:jc w:val="center"/>
        </w:trPr>
        <w:tc>
          <w:tcPr>
            <w:tcW w:w="1316" w:type="dxa"/>
            <w:vMerge w:val="restart"/>
            <w:noWrap w:val="0"/>
            <w:tcMar>
              <w:top w:w="0" w:type="dxa"/>
              <w:left w:w="108" w:type="dxa"/>
              <w:bottom w:w="0" w:type="dxa"/>
              <w:right w:w="108" w:type="dxa"/>
            </w:tcMar>
            <w:vAlign w:val="center"/>
          </w:tcPr>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作品信息</w:t>
            </w:r>
          </w:p>
          <w:p>
            <w:pPr>
              <w:keepNext w:val="0"/>
              <w:keepLines w:val="0"/>
              <w:pageBreakBefore w:val="0"/>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p>
        </w:tc>
        <w:tc>
          <w:tcPr>
            <w:tcW w:w="1417" w:type="dxa"/>
            <w:noWrap w:val="0"/>
            <w:tcMar>
              <w:top w:w="0" w:type="dxa"/>
              <w:left w:w="108" w:type="dxa"/>
              <w:bottom w:w="0" w:type="dxa"/>
              <w:right w:w="108" w:type="dxa"/>
            </w:tcMar>
            <w:vAlign w:val="center"/>
          </w:tcPr>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作品名称</w:t>
            </w:r>
          </w:p>
        </w:tc>
        <w:tc>
          <w:tcPr>
            <w:tcW w:w="6218" w:type="dxa"/>
            <w:gridSpan w:val="3"/>
            <w:noWrap w:val="0"/>
            <w:tcMar>
              <w:top w:w="0" w:type="dxa"/>
              <w:left w:w="108" w:type="dxa"/>
              <w:bottom w:w="0" w:type="dxa"/>
              <w:right w:w="108" w:type="dxa"/>
            </w:tcMar>
            <w:vAlign w:val="center"/>
          </w:tcPr>
          <w:p>
            <w:pPr>
              <w:keepNext w:val="0"/>
              <w:keepLines w:val="0"/>
              <w:pageBreakBefore w:val="0"/>
              <w:widowControl/>
              <w:kinsoku/>
              <w:topLinePunct w:val="0"/>
              <w:bidi w:val="0"/>
              <w:adjustRightInd w:val="0"/>
              <w:snapToGrid w:val="0"/>
              <w:spacing w:line="240" w:lineRule="auto"/>
              <w:rPr>
                <w:rFonts w:hint="eastAsia" w:ascii="仿宋_GB2312" w:hAnsi="仿宋_GB2312" w:eastAsia="仿宋_GB2312" w:cs="仿宋_GB2312"/>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jc w:val="center"/>
        </w:trPr>
        <w:tc>
          <w:tcPr>
            <w:tcW w:w="1316" w:type="dxa"/>
            <w:vMerge w:val="continue"/>
            <w:noWrap w:val="0"/>
            <w:tcMar>
              <w:top w:w="0" w:type="dxa"/>
              <w:left w:w="108" w:type="dxa"/>
              <w:bottom w:w="0" w:type="dxa"/>
              <w:right w:w="108" w:type="dxa"/>
            </w:tcMar>
            <w:vAlign w:val="center"/>
          </w:tcPr>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p>
        </w:tc>
        <w:tc>
          <w:tcPr>
            <w:tcW w:w="1417" w:type="dxa"/>
            <w:noWrap w:val="0"/>
            <w:tcMar>
              <w:top w:w="0" w:type="dxa"/>
              <w:left w:w="108" w:type="dxa"/>
              <w:bottom w:w="0" w:type="dxa"/>
              <w:right w:w="108" w:type="dxa"/>
            </w:tcMar>
            <w:vAlign w:val="center"/>
          </w:tcPr>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作品类别</w:t>
            </w:r>
          </w:p>
        </w:tc>
        <w:tc>
          <w:tcPr>
            <w:tcW w:w="6218" w:type="dxa"/>
            <w:gridSpan w:val="3"/>
            <w:noWrap w:val="0"/>
            <w:tcMar>
              <w:top w:w="0" w:type="dxa"/>
              <w:left w:w="108" w:type="dxa"/>
              <w:bottom w:w="0" w:type="dxa"/>
              <w:right w:w="108" w:type="dxa"/>
            </w:tcMar>
            <w:vAlign w:val="center"/>
          </w:tcPr>
          <w:p>
            <w:pPr>
              <w:keepNext w:val="0"/>
              <w:keepLines w:val="0"/>
              <w:pageBreakBefore w:val="0"/>
              <w:widowControl/>
              <w:kinsoku/>
              <w:topLinePunct w:val="0"/>
              <w:bidi w:val="0"/>
              <w:adjustRightInd w:val="0"/>
              <w:snapToGrid w:val="0"/>
              <w:spacing w:line="240" w:lineRule="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□网络文章 </w:t>
            </w:r>
            <w:r>
              <w:rPr>
                <w:rFonts w:hint="eastAsia" w:ascii="仿宋_GB2312" w:hAnsi="仿宋_GB2312" w:eastAsia="仿宋_GB2312" w:cs="仿宋_GB2312"/>
                <w:kern w:val="0"/>
                <w:sz w:val="28"/>
                <w:szCs w:val="28"/>
                <w:highlight w:val="none"/>
                <w:lang w:val="en-US" w:eastAsia="zh-CN"/>
              </w:rPr>
              <w:t xml:space="preserve"> </w:t>
            </w:r>
            <w:r>
              <w:rPr>
                <w:rFonts w:hint="eastAsia" w:ascii="仿宋_GB2312" w:hAnsi="仿宋_GB2312" w:eastAsia="仿宋_GB2312" w:cs="仿宋_GB2312"/>
                <w:kern w:val="0"/>
                <w:sz w:val="28"/>
                <w:szCs w:val="28"/>
                <w:highlight w:val="none"/>
              </w:rPr>
              <w:t xml:space="preserve"> □工作案例 </w:t>
            </w:r>
            <w:r>
              <w:rPr>
                <w:rFonts w:hint="eastAsia" w:ascii="仿宋_GB2312" w:hAnsi="仿宋_GB2312" w:eastAsia="仿宋_GB2312" w:cs="仿宋_GB2312"/>
                <w:kern w:val="0"/>
                <w:sz w:val="28"/>
                <w:szCs w:val="28"/>
                <w:highlight w:val="none"/>
                <w:lang w:val="en-US" w:eastAsia="zh-CN"/>
              </w:rPr>
              <w:t xml:space="preserve"> </w:t>
            </w:r>
            <w:r>
              <w:rPr>
                <w:rFonts w:hint="eastAsia" w:ascii="仿宋_GB2312" w:hAnsi="仿宋_GB2312" w:eastAsia="仿宋_GB2312" w:cs="仿宋_GB2312"/>
                <w:kern w:val="0"/>
                <w:sz w:val="28"/>
                <w:szCs w:val="28"/>
                <w:highlight w:val="none"/>
              </w:rPr>
              <w:t xml:space="preserve"> □微课  </w:t>
            </w:r>
            <w:r>
              <w:rPr>
                <w:rFonts w:hint="eastAsia" w:ascii="仿宋_GB2312" w:hAnsi="仿宋_GB2312" w:eastAsia="仿宋_GB2312" w:cs="仿宋_GB2312"/>
                <w:kern w:val="0"/>
                <w:sz w:val="28"/>
                <w:szCs w:val="28"/>
                <w:highlight w:val="none"/>
                <w:lang w:val="en-US" w:eastAsia="zh-CN"/>
              </w:rPr>
              <w:t xml:space="preserve"> </w:t>
            </w:r>
            <w:r>
              <w:rPr>
                <w:rFonts w:hint="eastAsia" w:ascii="仿宋_GB2312" w:hAnsi="仿宋_GB2312" w:eastAsia="仿宋_GB2312" w:cs="仿宋_GB2312"/>
                <w:kern w:val="0"/>
                <w:sz w:val="28"/>
                <w:szCs w:val="28"/>
                <w:highlight w:val="none"/>
              </w:rPr>
              <w:t xml:space="preserve"> □新媒体作品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132" w:hRule="atLeast"/>
          <w:jc w:val="center"/>
        </w:trPr>
        <w:tc>
          <w:tcPr>
            <w:tcW w:w="1316" w:type="dxa"/>
            <w:vMerge w:val="continue"/>
            <w:noWrap w:val="0"/>
            <w:tcMar>
              <w:top w:w="0" w:type="dxa"/>
              <w:left w:w="108" w:type="dxa"/>
              <w:bottom w:w="0" w:type="dxa"/>
              <w:right w:w="108" w:type="dxa"/>
            </w:tcMar>
            <w:vAlign w:val="center"/>
          </w:tcPr>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p>
        </w:tc>
        <w:tc>
          <w:tcPr>
            <w:tcW w:w="1417" w:type="dxa"/>
            <w:noWrap w:val="0"/>
            <w:tcMar>
              <w:top w:w="0" w:type="dxa"/>
              <w:left w:w="108" w:type="dxa"/>
              <w:bottom w:w="0" w:type="dxa"/>
              <w:right w:w="108" w:type="dxa"/>
            </w:tcMar>
            <w:vAlign w:val="center"/>
          </w:tcPr>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作品简介（可附页）</w:t>
            </w:r>
          </w:p>
        </w:tc>
        <w:tc>
          <w:tcPr>
            <w:tcW w:w="6218" w:type="dxa"/>
            <w:gridSpan w:val="3"/>
            <w:noWrap w:val="0"/>
            <w:tcMar>
              <w:left w:w="28" w:type="dxa"/>
            </w:tcMar>
            <w:vAlign w:val="top"/>
          </w:tcPr>
          <w:p>
            <w:pPr>
              <w:keepNext w:val="0"/>
              <w:keepLines w:val="0"/>
              <w:pageBreakBefore w:val="0"/>
              <w:widowControl/>
              <w:kinsoku/>
              <w:topLinePunct w:val="0"/>
              <w:bidi w:val="0"/>
              <w:adjustRightInd w:val="0"/>
              <w:snapToGrid w:val="0"/>
              <w:spacing w:line="240" w:lineRule="auto"/>
              <w:jc w:val="left"/>
              <w:rPr>
                <w:rFonts w:hint="eastAsia" w:ascii="仿宋_GB2312" w:hAnsi="仿宋_GB2312" w:eastAsia="仿宋_GB2312" w:cs="仿宋_GB2312"/>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105" w:hRule="atLeast"/>
          <w:jc w:val="center"/>
        </w:trPr>
        <w:tc>
          <w:tcPr>
            <w:tcW w:w="1316" w:type="dxa"/>
            <w:noWrap w:val="0"/>
            <w:tcMar>
              <w:top w:w="0" w:type="dxa"/>
              <w:left w:w="108" w:type="dxa"/>
              <w:bottom w:w="0" w:type="dxa"/>
              <w:right w:w="108" w:type="dxa"/>
            </w:tcMar>
            <w:vAlign w:val="center"/>
          </w:tcPr>
          <w:p>
            <w:pPr>
              <w:keepNext w:val="0"/>
              <w:keepLines w:val="0"/>
              <w:pageBreakBefore w:val="0"/>
              <w:kinsoku/>
              <w:topLinePunct w:val="0"/>
              <w:bidi w:val="0"/>
              <w:adjustRightInd w:val="0"/>
              <w:snapToGrid w:val="0"/>
              <w:spacing w:line="240" w:lineRule="auto"/>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推荐单位</w:t>
            </w:r>
          </w:p>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sz w:val="28"/>
                <w:szCs w:val="28"/>
                <w:highlight w:val="none"/>
              </w:rPr>
              <w:t>意见</w:t>
            </w:r>
          </w:p>
        </w:tc>
        <w:tc>
          <w:tcPr>
            <w:tcW w:w="7635" w:type="dxa"/>
            <w:gridSpan w:val="4"/>
            <w:noWrap w:val="0"/>
            <w:tcMar>
              <w:top w:w="0" w:type="dxa"/>
              <w:left w:w="108" w:type="dxa"/>
              <w:bottom w:w="0" w:type="dxa"/>
              <w:right w:w="108" w:type="dxa"/>
            </w:tcMar>
            <w:vAlign w:val="top"/>
          </w:tcPr>
          <w:p>
            <w:pPr>
              <w:keepNext w:val="0"/>
              <w:keepLines w:val="0"/>
              <w:pageBreakBefore w:val="0"/>
              <w:widowControl/>
              <w:kinsoku/>
              <w:topLinePunct w:val="0"/>
              <w:bidi w:val="0"/>
              <w:adjustRightInd w:val="0"/>
              <w:snapToGrid w:val="0"/>
              <w:spacing w:line="240" w:lineRule="auto"/>
              <w:ind w:right="560"/>
              <w:jc w:val="left"/>
              <w:rPr>
                <w:rFonts w:hint="eastAsia" w:ascii="仿宋_GB2312" w:hAnsi="仿宋_GB2312" w:eastAsia="仿宋_GB2312" w:cs="仿宋_GB2312"/>
                <w:kern w:val="0"/>
                <w:sz w:val="28"/>
                <w:szCs w:val="28"/>
                <w:highlight w:val="none"/>
              </w:rPr>
            </w:pPr>
          </w:p>
          <w:p>
            <w:pPr>
              <w:keepNext w:val="0"/>
              <w:keepLines w:val="0"/>
              <w:pageBreakBefore w:val="0"/>
              <w:widowControl/>
              <w:kinsoku/>
              <w:topLinePunct w:val="0"/>
              <w:bidi w:val="0"/>
              <w:adjustRightInd w:val="0"/>
              <w:snapToGrid w:val="0"/>
              <w:spacing w:line="240" w:lineRule="auto"/>
              <w:jc w:val="left"/>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rPr>
              <w:t xml:space="preserve">负责人：            </w:t>
            </w:r>
            <w:r>
              <w:rPr>
                <w:rFonts w:hint="eastAsia" w:ascii="仿宋_GB2312" w:hAnsi="仿宋_GB2312" w:eastAsia="仿宋_GB2312" w:cs="仿宋_GB2312"/>
                <w:kern w:val="0"/>
                <w:sz w:val="28"/>
                <w:szCs w:val="28"/>
                <w:highlight w:val="none"/>
                <w:lang w:val="en-US" w:eastAsia="zh-CN"/>
              </w:rPr>
              <w:t xml:space="preserve">                 </w:t>
            </w:r>
          </w:p>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 xml:space="preserve">                      </w:t>
            </w:r>
            <w:r>
              <w:rPr>
                <w:rFonts w:hint="eastAsia" w:ascii="仿宋_GB2312" w:hAnsi="仿宋_GB2312" w:eastAsia="仿宋_GB2312" w:cs="仿宋_GB2312"/>
                <w:kern w:val="0"/>
                <w:sz w:val="28"/>
                <w:szCs w:val="28"/>
                <w:highlight w:val="none"/>
              </w:rPr>
              <w:t xml:space="preserve"> （盖章）</w:t>
            </w:r>
          </w:p>
          <w:p>
            <w:pPr>
              <w:keepNext w:val="0"/>
              <w:keepLines w:val="0"/>
              <w:pageBreakBefore w:val="0"/>
              <w:widowControl/>
              <w:kinsoku/>
              <w:topLinePunct w:val="0"/>
              <w:bidi w:val="0"/>
              <w:adjustRightInd w:val="0"/>
              <w:snapToGrid w:val="0"/>
              <w:spacing w:line="240" w:lineRule="auto"/>
              <w:ind w:right="560" w:firstLine="5320" w:firstLineChars="190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年  月  日</w:t>
            </w:r>
          </w:p>
        </w:tc>
      </w:tr>
    </w:tbl>
    <w:p>
      <w:pPr>
        <w:keepNext w:val="0"/>
        <w:keepLines w:val="0"/>
        <w:pageBreakBefore w:val="0"/>
        <w:kinsoku/>
        <w:topLinePunct w:val="0"/>
        <w:bidi w:val="0"/>
        <w:adjustRightInd w:val="0"/>
        <w:snapToGrid w:val="0"/>
        <w:spacing w:line="520" w:lineRule="exact"/>
        <w:ind w:firstLine="190" w:firstLineChars="100"/>
        <w:jc w:val="left"/>
        <w:rPr>
          <w:rFonts w:hint="eastAsia" w:ascii="仿宋_GB2312" w:hAnsi="仿宋_GB2312" w:eastAsia="仿宋_GB2312" w:cs="仿宋_GB2312"/>
          <w:spacing w:val="-10"/>
          <w:kern w:val="0"/>
          <w:sz w:val="21"/>
          <w:szCs w:val="21"/>
          <w:highlight w:val="none"/>
        </w:rPr>
      </w:pPr>
      <w:r>
        <w:rPr>
          <w:rFonts w:hint="eastAsia" w:ascii="仿宋_GB2312" w:hAnsi="仿宋_GB2312" w:eastAsia="仿宋_GB2312" w:cs="仿宋_GB2312"/>
          <w:spacing w:val="-10"/>
          <w:kern w:val="0"/>
          <w:sz w:val="21"/>
          <w:szCs w:val="21"/>
          <w:highlight w:val="none"/>
        </w:rPr>
        <w:t>备注：</w:t>
      </w:r>
      <w:r>
        <w:rPr>
          <w:rFonts w:hint="eastAsia" w:ascii="仿宋_GB2312" w:hAnsi="仿宋_GB2312" w:eastAsia="仿宋_GB2312" w:cs="仿宋_GB2312"/>
          <w:sz w:val="21"/>
          <w:szCs w:val="21"/>
          <w:highlight w:val="none"/>
        </w:rPr>
        <w:t>电子</w:t>
      </w:r>
      <w:r>
        <w:rPr>
          <w:rFonts w:hint="eastAsia" w:ascii="仿宋_GB2312" w:hAnsi="仿宋_GB2312" w:eastAsia="仿宋_GB2312" w:cs="仿宋_GB2312"/>
          <w:sz w:val="21"/>
          <w:szCs w:val="21"/>
          <w:highlight w:val="none"/>
          <w:lang w:eastAsia="zh-CN"/>
        </w:rPr>
        <w:t>文</w:t>
      </w:r>
      <w:r>
        <w:rPr>
          <w:rFonts w:hint="eastAsia" w:ascii="仿宋_GB2312" w:hAnsi="仿宋_GB2312" w:eastAsia="仿宋_GB2312" w:cs="仿宋_GB2312"/>
          <w:sz w:val="21"/>
          <w:szCs w:val="21"/>
          <w:highlight w:val="none"/>
        </w:rPr>
        <w:t>档标题注明“作品类别+推荐单位名称+信息表”。</w:t>
      </w:r>
    </w:p>
    <w:p>
      <w:pPr>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br w:type="page"/>
      </w:r>
    </w:p>
    <w:p>
      <w:pPr>
        <w:keepNext w:val="0"/>
        <w:keepLines w:val="0"/>
        <w:pageBreakBefore w:val="0"/>
        <w:widowControl/>
        <w:kinsoku/>
        <w:wordWrap w:val="0"/>
        <w:overflowPunct/>
        <w:topLinePunct w:val="0"/>
        <w:autoSpaceDE w:val="0"/>
        <w:autoSpaceDN w:val="0"/>
        <w:bidi w:val="0"/>
        <w:adjustRightInd w:val="0"/>
        <w:snapToGrid w:val="0"/>
        <w:spacing w:beforeAutospacing="0" w:afterAutospacing="0" w:line="520" w:lineRule="exact"/>
        <w:jc w:val="left"/>
        <w:textAlignment w:val="auto"/>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附件2-3</w:t>
      </w:r>
    </w:p>
    <w:p>
      <w:pPr>
        <w:keepNext w:val="0"/>
        <w:keepLines w:val="0"/>
        <w:pageBreakBefore w:val="0"/>
        <w:kinsoku/>
        <w:topLinePunct w:val="0"/>
        <w:bidi w:val="0"/>
        <w:adjustRightInd w:val="0"/>
        <w:snapToGrid w:val="0"/>
        <w:spacing w:line="520" w:lineRule="exact"/>
        <w:jc w:val="center"/>
        <w:rPr>
          <w:rFonts w:hint="eastAsia" w:ascii="方正小标宋简体" w:hAnsi="方正小标宋简体" w:eastAsia="方正小标宋简体" w:cs="方正小标宋简体"/>
          <w:bCs/>
          <w:sz w:val="32"/>
          <w:szCs w:val="32"/>
          <w:highlight w:val="none"/>
        </w:rPr>
      </w:pPr>
      <w:r>
        <w:rPr>
          <w:rFonts w:hint="eastAsia" w:ascii="方正小标宋简体" w:hAnsi="方正小标宋简体" w:eastAsia="方正小标宋简体" w:cs="方正小标宋简体"/>
          <w:bCs/>
          <w:sz w:val="32"/>
          <w:szCs w:val="32"/>
          <w:highlight w:val="none"/>
          <w:lang w:eastAsia="zh-CN"/>
        </w:rPr>
        <w:t>上海</w:t>
      </w:r>
      <w:r>
        <w:rPr>
          <w:rFonts w:hint="eastAsia" w:ascii="方正小标宋简体" w:hAnsi="方正小标宋简体" w:eastAsia="方正小标宋简体" w:cs="方正小标宋简体"/>
          <w:bCs/>
          <w:sz w:val="32"/>
          <w:szCs w:val="32"/>
          <w:highlight w:val="none"/>
        </w:rPr>
        <w:t>高校网络教育优秀作品推选展示活动征集汇总表</w:t>
      </w:r>
    </w:p>
    <w:tbl>
      <w:tblPr>
        <w:tblStyle w:val="8"/>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46"/>
        <w:gridCol w:w="424"/>
        <w:gridCol w:w="620"/>
        <w:gridCol w:w="379"/>
        <w:gridCol w:w="2457"/>
        <w:gridCol w:w="1633"/>
        <w:gridCol w:w="2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1316" w:type="dxa"/>
            <w:gridSpan w:val="2"/>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推荐单位</w:t>
            </w:r>
          </w:p>
        </w:tc>
        <w:tc>
          <w:tcPr>
            <w:tcW w:w="7657" w:type="dxa"/>
            <w:gridSpan w:val="6"/>
            <w:noWrap w:val="0"/>
            <w:vAlign w:val="center"/>
          </w:tcPr>
          <w:p>
            <w:pPr>
              <w:keepNext w:val="0"/>
              <w:keepLines w:val="0"/>
              <w:pageBreakBefore w:val="0"/>
              <w:kinsoku/>
              <w:topLinePunct w:val="0"/>
              <w:bidi w:val="0"/>
              <w:adjustRightInd w:val="0"/>
              <w:snapToGrid w:val="0"/>
              <w:spacing w:line="520" w:lineRule="exact"/>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restart"/>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推荐单位</w:t>
            </w:r>
          </w:p>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联系人</w:t>
            </w:r>
          </w:p>
        </w:tc>
        <w:tc>
          <w:tcPr>
            <w:tcW w:w="1423" w:type="dxa"/>
            <w:gridSpan w:val="3"/>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姓    名</w:t>
            </w:r>
          </w:p>
        </w:tc>
        <w:tc>
          <w:tcPr>
            <w:tcW w:w="2457" w:type="dxa"/>
            <w:noWrap w:val="0"/>
            <w:vAlign w:val="top"/>
          </w:tcPr>
          <w:p>
            <w:pPr>
              <w:keepNext w:val="0"/>
              <w:keepLines w:val="0"/>
              <w:pageBreakBefore w:val="0"/>
              <w:kinsoku/>
              <w:topLinePunct w:val="0"/>
              <w:bidi w:val="0"/>
              <w:adjustRightInd w:val="0"/>
              <w:snapToGrid w:val="0"/>
              <w:spacing w:line="520" w:lineRule="exact"/>
              <w:rPr>
                <w:rFonts w:hint="eastAsia" w:ascii="仿宋_GB2312" w:hAnsi="仿宋_GB2312" w:eastAsia="仿宋_GB2312" w:cs="仿宋_GB2312"/>
                <w:sz w:val="28"/>
                <w:szCs w:val="28"/>
                <w:highlight w:val="none"/>
              </w:rPr>
            </w:pPr>
          </w:p>
        </w:tc>
        <w:tc>
          <w:tcPr>
            <w:tcW w:w="1633"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职    务</w:t>
            </w:r>
          </w:p>
        </w:tc>
        <w:tc>
          <w:tcPr>
            <w:tcW w:w="2144" w:type="dxa"/>
            <w:noWrap w:val="0"/>
            <w:vAlign w:val="top"/>
          </w:tcPr>
          <w:p>
            <w:pPr>
              <w:keepNext w:val="0"/>
              <w:keepLines w:val="0"/>
              <w:pageBreakBefore w:val="0"/>
              <w:kinsoku/>
              <w:topLinePunct w:val="0"/>
              <w:bidi w:val="0"/>
              <w:adjustRightInd w:val="0"/>
              <w:snapToGrid w:val="0"/>
              <w:spacing w:line="520" w:lineRule="exact"/>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1423" w:type="dxa"/>
            <w:gridSpan w:val="3"/>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联系电话</w:t>
            </w:r>
          </w:p>
        </w:tc>
        <w:tc>
          <w:tcPr>
            <w:tcW w:w="2457" w:type="dxa"/>
            <w:noWrap w:val="0"/>
            <w:vAlign w:val="center"/>
          </w:tcPr>
          <w:p>
            <w:pPr>
              <w:keepNext w:val="0"/>
              <w:keepLines w:val="0"/>
              <w:pageBreakBefore w:val="0"/>
              <w:kinsoku/>
              <w:topLinePunct w:val="0"/>
              <w:bidi w:val="0"/>
              <w:adjustRightInd w:val="0"/>
              <w:snapToGrid w:val="0"/>
              <w:spacing w:line="520" w:lineRule="exact"/>
              <w:rPr>
                <w:rFonts w:hint="eastAsia" w:ascii="仿宋_GB2312" w:hAnsi="仿宋_GB2312" w:eastAsia="仿宋_GB2312" w:cs="仿宋_GB2312"/>
                <w:sz w:val="28"/>
                <w:szCs w:val="28"/>
                <w:highlight w:val="none"/>
              </w:rPr>
            </w:pPr>
          </w:p>
        </w:tc>
        <w:tc>
          <w:tcPr>
            <w:tcW w:w="1633" w:type="dxa"/>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rPr>
              <w:t>电子邮箱</w:t>
            </w:r>
          </w:p>
        </w:tc>
        <w:tc>
          <w:tcPr>
            <w:tcW w:w="2144" w:type="dxa"/>
            <w:noWrap w:val="0"/>
            <w:vAlign w:val="top"/>
          </w:tcPr>
          <w:p>
            <w:pPr>
              <w:keepNext w:val="0"/>
              <w:keepLines w:val="0"/>
              <w:pageBreakBefore w:val="0"/>
              <w:kinsoku/>
              <w:topLinePunct w:val="0"/>
              <w:bidi w:val="0"/>
              <w:adjustRightInd w:val="0"/>
              <w:snapToGrid w:val="0"/>
              <w:spacing w:line="520" w:lineRule="exact"/>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1423" w:type="dxa"/>
            <w:gridSpan w:val="3"/>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通讯地址</w:t>
            </w:r>
          </w:p>
        </w:tc>
        <w:tc>
          <w:tcPr>
            <w:tcW w:w="2457" w:type="dxa"/>
            <w:noWrap w:val="0"/>
            <w:vAlign w:val="center"/>
          </w:tcPr>
          <w:p>
            <w:pPr>
              <w:keepNext w:val="0"/>
              <w:keepLines w:val="0"/>
              <w:pageBreakBefore w:val="0"/>
              <w:kinsoku/>
              <w:topLinePunct w:val="0"/>
              <w:bidi w:val="0"/>
              <w:adjustRightInd w:val="0"/>
              <w:snapToGrid w:val="0"/>
              <w:spacing w:line="520" w:lineRule="exact"/>
              <w:rPr>
                <w:rFonts w:hint="eastAsia" w:ascii="仿宋_GB2312" w:hAnsi="仿宋_GB2312" w:eastAsia="仿宋_GB2312" w:cs="仿宋_GB2312"/>
                <w:sz w:val="28"/>
                <w:szCs w:val="28"/>
                <w:highlight w:val="none"/>
              </w:rPr>
            </w:pPr>
          </w:p>
        </w:tc>
        <w:tc>
          <w:tcPr>
            <w:tcW w:w="1633" w:type="dxa"/>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邮    编</w:t>
            </w:r>
          </w:p>
        </w:tc>
        <w:tc>
          <w:tcPr>
            <w:tcW w:w="2144" w:type="dxa"/>
            <w:noWrap w:val="0"/>
            <w:vAlign w:val="center"/>
          </w:tcPr>
          <w:p>
            <w:pPr>
              <w:keepNext w:val="0"/>
              <w:keepLines w:val="0"/>
              <w:pageBreakBefore w:val="0"/>
              <w:kinsoku/>
              <w:topLinePunct w:val="0"/>
              <w:bidi w:val="0"/>
              <w:adjustRightInd w:val="0"/>
              <w:snapToGrid w:val="0"/>
              <w:spacing w:line="520" w:lineRule="exact"/>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3" w:type="dxa"/>
            <w:gridSpan w:val="8"/>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jc w:val="center"/>
        </w:trPr>
        <w:tc>
          <w:tcPr>
            <w:tcW w:w="870" w:type="dxa"/>
            <w:noWrap w:val="0"/>
            <w:tcMar>
              <w:top w:w="0" w:type="dxa"/>
              <w:left w:w="0" w:type="dxa"/>
              <w:bottom w:w="0" w:type="dxa"/>
              <w:right w:w="0" w:type="dxa"/>
            </w:tcMar>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序号</w:t>
            </w:r>
          </w:p>
        </w:tc>
        <w:tc>
          <w:tcPr>
            <w:tcW w:w="1490" w:type="dxa"/>
            <w:gridSpan w:val="3"/>
            <w:noWrap w:val="0"/>
            <w:tcMar>
              <w:top w:w="0" w:type="dxa"/>
              <w:left w:w="0" w:type="dxa"/>
              <w:bottom w:w="0" w:type="dxa"/>
              <w:right w:w="0" w:type="dxa"/>
            </w:tcMar>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作品类别</w:t>
            </w:r>
          </w:p>
        </w:tc>
        <w:tc>
          <w:tcPr>
            <w:tcW w:w="2836" w:type="dxa"/>
            <w:gridSpan w:val="2"/>
            <w:noWrap w:val="0"/>
            <w:tcMar>
              <w:top w:w="0" w:type="dxa"/>
              <w:left w:w="0" w:type="dxa"/>
              <w:bottom w:w="0" w:type="dxa"/>
              <w:right w:w="0" w:type="dxa"/>
            </w:tcMar>
            <w:vAlign w:val="center"/>
          </w:tcPr>
          <w:p>
            <w:pPr>
              <w:keepNext w:val="0"/>
              <w:keepLines w:val="0"/>
              <w:pageBreakBefore w:val="0"/>
              <w:kinsoku/>
              <w:topLinePunct w:val="0"/>
              <w:bidi w:val="0"/>
              <w:adjustRightInd w:val="0"/>
              <w:snapToGrid w:val="0"/>
              <w:spacing w:line="520" w:lineRule="exact"/>
              <w:ind w:left="-210" w:leftChars="-100"/>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作品名称</w:t>
            </w:r>
          </w:p>
        </w:tc>
        <w:tc>
          <w:tcPr>
            <w:tcW w:w="1633" w:type="dxa"/>
            <w:noWrap w:val="0"/>
            <w:tcMar>
              <w:top w:w="0" w:type="dxa"/>
              <w:left w:w="0" w:type="dxa"/>
              <w:bottom w:w="0" w:type="dxa"/>
              <w:right w:w="0" w:type="dxa"/>
            </w:tcMar>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作者姓名</w:t>
            </w:r>
          </w:p>
        </w:tc>
        <w:tc>
          <w:tcPr>
            <w:tcW w:w="2144" w:type="dxa"/>
            <w:noWrap w:val="0"/>
            <w:tcMar>
              <w:top w:w="0" w:type="dxa"/>
              <w:bottom w:w="0" w:type="dxa"/>
            </w:tcMar>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p>
        </w:tc>
        <w:tc>
          <w:tcPr>
            <w:tcW w:w="1490" w:type="dxa"/>
            <w:gridSpan w:val="3"/>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2836"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1633"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2144"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p>
        </w:tc>
        <w:tc>
          <w:tcPr>
            <w:tcW w:w="1490" w:type="dxa"/>
            <w:gridSpan w:val="3"/>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2836"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1633"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2144"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w:t>
            </w:r>
          </w:p>
        </w:tc>
        <w:tc>
          <w:tcPr>
            <w:tcW w:w="1490" w:type="dxa"/>
            <w:gridSpan w:val="3"/>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2836"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1633"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2144"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w:t>
            </w:r>
          </w:p>
        </w:tc>
        <w:tc>
          <w:tcPr>
            <w:tcW w:w="1490" w:type="dxa"/>
            <w:gridSpan w:val="3"/>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2836"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1633"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2144"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w:t>
            </w:r>
          </w:p>
        </w:tc>
        <w:tc>
          <w:tcPr>
            <w:tcW w:w="1490" w:type="dxa"/>
            <w:gridSpan w:val="3"/>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2836"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1633"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2144"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w:t>
            </w:r>
          </w:p>
        </w:tc>
        <w:tc>
          <w:tcPr>
            <w:tcW w:w="1490" w:type="dxa"/>
            <w:gridSpan w:val="3"/>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2836"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1633"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2144"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w:t>
            </w:r>
          </w:p>
        </w:tc>
        <w:tc>
          <w:tcPr>
            <w:tcW w:w="1490" w:type="dxa"/>
            <w:gridSpan w:val="3"/>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2836"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1633"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2144"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w:t>
            </w:r>
          </w:p>
        </w:tc>
        <w:tc>
          <w:tcPr>
            <w:tcW w:w="1490" w:type="dxa"/>
            <w:gridSpan w:val="3"/>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2836"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1633"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2144"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9</w:t>
            </w:r>
          </w:p>
        </w:tc>
        <w:tc>
          <w:tcPr>
            <w:tcW w:w="1490" w:type="dxa"/>
            <w:gridSpan w:val="3"/>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2836"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1633"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2144"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10</w:t>
            </w:r>
          </w:p>
        </w:tc>
        <w:tc>
          <w:tcPr>
            <w:tcW w:w="1490" w:type="dxa"/>
            <w:gridSpan w:val="3"/>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2836"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1633"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2144"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center"/>
          </w:tcPr>
          <w:p>
            <w:pPr>
              <w:keepNext w:val="0"/>
              <w:keepLines w:val="0"/>
              <w:pageBreakBefore w:val="0"/>
              <w:kinsoku/>
              <w:topLinePunct w:val="0"/>
              <w:bidi w:val="0"/>
              <w:adjustRightInd w:val="0"/>
              <w:snapToGrid w:val="0"/>
              <w:spacing w:line="520" w:lineRule="exact"/>
              <w:jc w:val="center"/>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w:t>
            </w:r>
          </w:p>
        </w:tc>
        <w:tc>
          <w:tcPr>
            <w:tcW w:w="1490" w:type="dxa"/>
            <w:gridSpan w:val="3"/>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2836"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1633"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2144"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p>
        </w:tc>
        <w:tc>
          <w:tcPr>
            <w:tcW w:w="1490" w:type="dxa"/>
            <w:gridSpan w:val="3"/>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2836"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1633"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2144"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1740" w:type="dxa"/>
            <w:gridSpan w:val="3"/>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推荐单位</w:t>
            </w:r>
          </w:p>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意见</w:t>
            </w:r>
          </w:p>
        </w:tc>
        <w:tc>
          <w:tcPr>
            <w:tcW w:w="7233" w:type="dxa"/>
            <w:gridSpan w:val="5"/>
            <w:noWrap w:val="0"/>
            <w:vAlign w:val="top"/>
          </w:tcPr>
          <w:p>
            <w:pPr>
              <w:keepNext w:val="0"/>
              <w:keepLines w:val="0"/>
              <w:pageBreakBefore w:val="0"/>
              <w:kinsoku/>
              <w:topLinePunct w:val="0"/>
              <w:bidi w:val="0"/>
              <w:adjustRightInd w:val="0"/>
              <w:snapToGrid w:val="0"/>
              <w:spacing w:line="520" w:lineRule="exact"/>
              <w:ind w:right="560"/>
              <w:rPr>
                <w:rFonts w:hint="eastAsia" w:ascii="仿宋_GB2312" w:hAnsi="仿宋_GB2312" w:eastAsia="仿宋_GB2312" w:cs="仿宋_GB2312"/>
                <w:kern w:val="0"/>
                <w:sz w:val="28"/>
                <w:szCs w:val="28"/>
                <w:highlight w:val="none"/>
              </w:rPr>
            </w:pPr>
          </w:p>
          <w:p>
            <w:pPr>
              <w:keepNext w:val="0"/>
              <w:keepLines w:val="0"/>
              <w:pageBreakBefore w:val="0"/>
              <w:kinsoku/>
              <w:topLinePunct w:val="0"/>
              <w:bidi w:val="0"/>
              <w:adjustRightInd w:val="0"/>
              <w:snapToGrid w:val="0"/>
              <w:spacing w:line="520" w:lineRule="exact"/>
              <w:ind w:right="560"/>
              <w:rPr>
                <w:rFonts w:hint="eastAsia" w:ascii="仿宋_GB2312" w:hAnsi="仿宋_GB2312" w:eastAsia="仿宋_GB2312" w:cs="仿宋_GB2312"/>
                <w:kern w:val="0"/>
                <w:sz w:val="28"/>
                <w:szCs w:val="28"/>
                <w:highlight w:val="none"/>
              </w:rPr>
            </w:pPr>
          </w:p>
          <w:p>
            <w:pPr>
              <w:keepNext w:val="0"/>
              <w:keepLines w:val="0"/>
              <w:pageBreakBefore w:val="0"/>
              <w:kinsoku/>
              <w:topLinePunct w:val="0"/>
              <w:bidi w:val="0"/>
              <w:adjustRightInd w:val="0"/>
              <w:snapToGrid w:val="0"/>
              <w:spacing w:line="520" w:lineRule="exact"/>
              <w:ind w:right="560"/>
              <w:rPr>
                <w:rFonts w:hint="eastAsia" w:ascii="仿宋_GB2312" w:hAnsi="仿宋_GB2312" w:eastAsia="仿宋_GB2312" w:cs="仿宋_GB2312"/>
                <w:kern w:val="0"/>
                <w:sz w:val="28"/>
                <w:szCs w:val="28"/>
                <w:highlight w:val="none"/>
              </w:rPr>
            </w:pPr>
          </w:p>
          <w:p>
            <w:pPr>
              <w:keepNext w:val="0"/>
              <w:keepLines w:val="0"/>
              <w:pageBreakBefore w:val="0"/>
              <w:kinsoku/>
              <w:topLinePunct w:val="0"/>
              <w:bidi w:val="0"/>
              <w:adjustRightInd w:val="0"/>
              <w:snapToGrid w:val="0"/>
              <w:spacing w:line="520" w:lineRule="exact"/>
              <w:ind w:firstLine="57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负责人：         </w:t>
            </w:r>
            <w:r>
              <w:rPr>
                <w:rFonts w:hint="eastAsia" w:ascii="仿宋_GB2312" w:hAnsi="仿宋_GB2312" w:eastAsia="仿宋_GB2312" w:cs="仿宋_GB2312"/>
                <w:kern w:val="0"/>
                <w:sz w:val="28"/>
                <w:szCs w:val="28"/>
                <w:highlight w:val="none"/>
                <w:lang w:val="en-US" w:eastAsia="zh-CN"/>
              </w:rPr>
              <w:t xml:space="preserve">                </w:t>
            </w:r>
            <w:r>
              <w:rPr>
                <w:rFonts w:hint="eastAsia" w:ascii="仿宋_GB2312" w:hAnsi="仿宋_GB2312" w:eastAsia="仿宋_GB2312" w:cs="仿宋_GB2312"/>
                <w:kern w:val="0"/>
                <w:sz w:val="28"/>
                <w:szCs w:val="28"/>
                <w:highlight w:val="none"/>
              </w:rPr>
              <w:t>（盖章）</w:t>
            </w:r>
          </w:p>
          <w:p>
            <w:pPr>
              <w:keepNext w:val="0"/>
              <w:keepLines w:val="0"/>
              <w:pageBreakBefore w:val="0"/>
              <w:kinsoku/>
              <w:topLinePunct w:val="0"/>
              <w:bidi w:val="0"/>
              <w:adjustRightInd w:val="0"/>
              <w:snapToGrid w:val="0"/>
              <w:spacing w:line="520" w:lineRule="exact"/>
              <w:ind w:right="894" w:firstLine="5040" w:firstLineChars="1800"/>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rPr>
              <w:t>年  月  日</w:t>
            </w:r>
          </w:p>
        </w:tc>
      </w:tr>
    </w:tbl>
    <w:p>
      <w:pPr>
        <w:keepNext w:val="0"/>
        <w:keepLines w:val="0"/>
        <w:pageBreakBefore w:val="0"/>
        <w:kinsoku/>
        <w:topLinePunct w:val="0"/>
        <w:bidi w:val="0"/>
        <w:adjustRightInd w:val="0"/>
        <w:snapToGrid w:val="0"/>
        <w:spacing w:line="520" w:lineRule="exact"/>
        <w:jc w:val="left"/>
        <w:rPr>
          <w:rFonts w:ascii="Times New Roman" w:hAnsi="Times New Roman" w:eastAsia="仿宋_GB2312" w:cs="Times New Roman"/>
          <w:sz w:val="21"/>
          <w:szCs w:val="21"/>
        </w:rPr>
      </w:pPr>
      <w:r>
        <w:rPr>
          <w:rFonts w:hint="eastAsia" w:ascii="仿宋_GB2312" w:hAnsi="仿宋_GB2312" w:eastAsia="仿宋_GB2312" w:cs="仿宋_GB2312"/>
          <w:sz w:val="21"/>
          <w:szCs w:val="21"/>
          <w:highlight w:val="none"/>
        </w:rPr>
        <w:t>备注：电子</w:t>
      </w:r>
      <w:r>
        <w:rPr>
          <w:rFonts w:hint="eastAsia" w:ascii="仿宋_GB2312" w:hAnsi="仿宋_GB2312" w:eastAsia="仿宋_GB2312" w:cs="仿宋_GB2312"/>
          <w:sz w:val="21"/>
          <w:szCs w:val="21"/>
          <w:highlight w:val="none"/>
          <w:lang w:eastAsia="zh-CN"/>
        </w:rPr>
        <w:t>文</w:t>
      </w:r>
      <w:r>
        <w:rPr>
          <w:rFonts w:hint="eastAsia" w:ascii="仿宋_GB2312" w:hAnsi="仿宋_GB2312" w:eastAsia="仿宋_GB2312" w:cs="仿宋_GB2312"/>
          <w:sz w:val="21"/>
          <w:szCs w:val="21"/>
          <w:highlight w:val="none"/>
        </w:rPr>
        <w:t>档标题注明“推荐单位名称+汇总表”</w:t>
      </w:r>
      <w:r>
        <w:rPr>
          <w:rFonts w:hint="eastAsia" w:ascii="仿宋_GB2312" w:hAnsi="仿宋_GB2312" w:eastAsia="仿宋_GB2312" w:cs="仿宋_GB2312"/>
          <w:sz w:val="21"/>
          <w:szCs w:val="21"/>
          <w:highlight w:val="none"/>
          <w:lang w:eastAsia="zh-CN"/>
        </w:rPr>
        <w:t>，每类作品单独一张表。</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B4A2D35-E55A-43E6-83AA-F5FB0637D30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7411FEF3-F9FD-4E2D-9C96-868B2AB88870}"/>
  </w:font>
  <w:font w:name="方正小标宋简体">
    <w:panose1 w:val="02000000000000000000"/>
    <w:charset w:val="86"/>
    <w:family w:val="auto"/>
    <w:pitch w:val="default"/>
    <w:sig w:usb0="00000001" w:usb1="08000000" w:usb2="00000000" w:usb3="00000000" w:csb0="00040000" w:csb1="00000000"/>
    <w:embedRegular r:id="rId3" w:fontKey="{66391D0F-05AF-4DC6-9789-B40F5E8BE80B}"/>
  </w:font>
  <w:font w:name="楷体_GB2312">
    <w:panose1 w:val="02010609030101010101"/>
    <w:charset w:val="86"/>
    <w:family w:val="modern"/>
    <w:pitch w:val="default"/>
    <w:sig w:usb0="00000001" w:usb1="080E0000" w:usb2="00000000" w:usb3="00000000" w:csb0="00040000" w:csb1="00000000"/>
    <w:embedRegular r:id="rId4" w:fontKey="{55D30B8E-29AD-4CB6-AF8F-2CB3A9C3408D}"/>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ascii="Times New Roman" w:hAnsi="Times New Roman" w:cs="Times New Roman"/>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- 13 -</w:t>
                          </w:r>
                          <w:r>
                            <w:rPr>
                              <w:rFonts w:hint="eastAsia" w:asciiTheme="minorEastAsia" w:hAnsi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- 13 -</w:t>
                    </w:r>
                    <w:r>
                      <w:rPr>
                        <w:rFonts w:hint="eastAsia" w:asciiTheme="minorEastAsia" w:hAnsiTheme="minorEastAsia" w:cstheme="minorEastAsia"/>
                        <w:sz w:val="24"/>
                        <w:szCs w:val="24"/>
                      </w:rPr>
                      <w:fldChar w:fldCharType="end"/>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70438357"/>
                          </w:sdtPr>
                          <w:sdtEndPr>
                            <w:rPr>
                              <w:rFonts w:ascii="Times New Roman" w:hAnsi="Times New Roman" w:cs="Times New Roman"/>
                              <w:sz w:val="20"/>
                            </w:rPr>
                          </w:sdtEndPr>
                          <w:sdtContent>
                            <w:p>
                              <w:pPr>
                                <w:pStyle w:val="4"/>
                                <w:jc w:val="center"/>
                                <w:rPr>
                                  <w:rFonts w:ascii="Times New Roman" w:hAnsi="Times New Roman" w:cs="Times New Roman"/>
                                  <w:sz w:val="20"/>
                                </w:rPr>
                              </w:pPr>
                            </w:p>
                          </w:sdtContent>
                        </w:sdt>
                        <w:p>
                          <w:pPr>
                            <w:rPr>
                              <w:rFonts w:ascii="Times New Roman" w:hAnsi="Times New Roman" w:cs="Times New Roman"/>
                              <w:sz w:val="2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870438357"/>
                    </w:sdtPr>
                    <w:sdtEndPr>
                      <w:rPr>
                        <w:rFonts w:ascii="Times New Roman" w:hAnsi="Times New Roman" w:cs="Times New Roman"/>
                        <w:sz w:val="20"/>
                      </w:rPr>
                    </w:sdtEndPr>
                    <w:sdtContent>
                      <w:p>
                        <w:pPr>
                          <w:pStyle w:val="4"/>
                          <w:jc w:val="center"/>
                          <w:rPr>
                            <w:rFonts w:ascii="Times New Roman" w:hAnsi="Times New Roman" w:cs="Times New Roman"/>
                            <w:sz w:val="20"/>
                          </w:rPr>
                        </w:pPr>
                      </w:p>
                    </w:sdtContent>
                  </w:sdt>
                  <w:p>
                    <w:pPr>
                      <w:rPr>
                        <w:rFonts w:ascii="Times New Roman" w:hAnsi="Times New Roman" w:cs="Times New Roman"/>
                        <w:sz w:val="20"/>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yODBmMWZlMzA1MTc1ZmU0ZmUzZDhmODQ5OWJhOGQifQ=="/>
  </w:docVars>
  <w:rsids>
    <w:rsidRoot w:val="00CB77C7"/>
    <w:rsid w:val="00053957"/>
    <w:rsid w:val="000E7D95"/>
    <w:rsid w:val="004F2554"/>
    <w:rsid w:val="006C7BEF"/>
    <w:rsid w:val="00CB77C7"/>
    <w:rsid w:val="00D25E47"/>
    <w:rsid w:val="02183124"/>
    <w:rsid w:val="033F5C26"/>
    <w:rsid w:val="084E1932"/>
    <w:rsid w:val="0C7B9975"/>
    <w:rsid w:val="10162400"/>
    <w:rsid w:val="10A26FA8"/>
    <w:rsid w:val="11BDE206"/>
    <w:rsid w:val="13CA4BB8"/>
    <w:rsid w:val="1424555C"/>
    <w:rsid w:val="1A4D3DE4"/>
    <w:rsid w:val="1B840D27"/>
    <w:rsid w:val="1DCA21E4"/>
    <w:rsid w:val="1E7F657A"/>
    <w:rsid w:val="21967BF5"/>
    <w:rsid w:val="22462CF1"/>
    <w:rsid w:val="2270571F"/>
    <w:rsid w:val="24D24F1B"/>
    <w:rsid w:val="2B06296A"/>
    <w:rsid w:val="2C3F28F3"/>
    <w:rsid w:val="2D9E1143"/>
    <w:rsid w:val="2ED520D9"/>
    <w:rsid w:val="3076FC65"/>
    <w:rsid w:val="310224D9"/>
    <w:rsid w:val="31B40F30"/>
    <w:rsid w:val="32170D71"/>
    <w:rsid w:val="34975457"/>
    <w:rsid w:val="34EA7618"/>
    <w:rsid w:val="37DD4090"/>
    <w:rsid w:val="37DEC752"/>
    <w:rsid w:val="39CD2D16"/>
    <w:rsid w:val="3A1D7585"/>
    <w:rsid w:val="3D3F413A"/>
    <w:rsid w:val="3D6D621C"/>
    <w:rsid w:val="3F7ADA74"/>
    <w:rsid w:val="3FFF2059"/>
    <w:rsid w:val="3FFF7615"/>
    <w:rsid w:val="42C17413"/>
    <w:rsid w:val="42D80958"/>
    <w:rsid w:val="45C159D6"/>
    <w:rsid w:val="47C6590F"/>
    <w:rsid w:val="48C1FF18"/>
    <w:rsid w:val="494D1F68"/>
    <w:rsid w:val="4AFC5498"/>
    <w:rsid w:val="4AFD7EAC"/>
    <w:rsid w:val="4B296DA2"/>
    <w:rsid w:val="4C802151"/>
    <w:rsid w:val="4DE457F9"/>
    <w:rsid w:val="4FAD99E9"/>
    <w:rsid w:val="51A178A7"/>
    <w:rsid w:val="51BA08C0"/>
    <w:rsid w:val="52BFE895"/>
    <w:rsid w:val="576454F9"/>
    <w:rsid w:val="5C7A5F50"/>
    <w:rsid w:val="5D201BDF"/>
    <w:rsid w:val="5D590119"/>
    <w:rsid w:val="5F715FD7"/>
    <w:rsid w:val="5F7BF72C"/>
    <w:rsid w:val="5FBFA928"/>
    <w:rsid w:val="5FFB5AE0"/>
    <w:rsid w:val="60D96503"/>
    <w:rsid w:val="613114D9"/>
    <w:rsid w:val="624B51DE"/>
    <w:rsid w:val="642E4ED9"/>
    <w:rsid w:val="673F2446"/>
    <w:rsid w:val="67FFE796"/>
    <w:rsid w:val="68F93BE6"/>
    <w:rsid w:val="69BB0BE7"/>
    <w:rsid w:val="6BF77AE2"/>
    <w:rsid w:val="6F6D2392"/>
    <w:rsid w:val="6FFFB2BB"/>
    <w:rsid w:val="70DF41F8"/>
    <w:rsid w:val="71F14207"/>
    <w:rsid w:val="721B7107"/>
    <w:rsid w:val="73BD3515"/>
    <w:rsid w:val="73FC6604"/>
    <w:rsid w:val="745C0496"/>
    <w:rsid w:val="754FBDB4"/>
    <w:rsid w:val="76A359E3"/>
    <w:rsid w:val="76F794FF"/>
    <w:rsid w:val="7730111A"/>
    <w:rsid w:val="783D7431"/>
    <w:rsid w:val="7D3C90DB"/>
    <w:rsid w:val="7ECEEBFB"/>
    <w:rsid w:val="7ED21BEA"/>
    <w:rsid w:val="7FB623D9"/>
    <w:rsid w:val="7FE55755"/>
    <w:rsid w:val="7FEF89F4"/>
    <w:rsid w:val="7FEFEE8D"/>
    <w:rsid w:val="7FF65A21"/>
    <w:rsid w:val="8DAB749A"/>
    <w:rsid w:val="9D7274D4"/>
    <w:rsid w:val="B3FE393B"/>
    <w:rsid w:val="B7343EB4"/>
    <w:rsid w:val="BCAB3BF5"/>
    <w:rsid w:val="BEC56BC2"/>
    <w:rsid w:val="BFBB4D8E"/>
    <w:rsid w:val="C7D3B58D"/>
    <w:rsid w:val="DC77B536"/>
    <w:rsid w:val="DFA3C41A"/>
    <w:rsid w:val="DFF4CE54"/>
    <w:rsid w:val="DFF7FABE"/>
    <w:rsid w:val="E6DFF358"/>
    <w:rsid w:val="EAF598F9"/>
    <w:rsid w:val="ED7F5B84"/>
    <w:rsid w:val="EEED2D98"/>
    <w:rsid w:val="EF5B4E5F"/>
    <w:rsid w:val="EFEF81F1"/>
    <w:rsid w:val="EFFA6B1E"/>
    <w:rsid w:val="F6AF5AB4"/>
    <w:rsid w:val="F7BD1996"/>
    <w:rsid w:val="F7DB24FB"/>
    <w:rsid w:val="F9DE4B53"/>
    <w:rsid w:val="FABA36DF"/>
    <w:rsid w:val="FAFB37CC"/>
    <w:rsid w:val="FDB30413"/>
    <w:rsid w:val="FDBF8961"/>
    <w:rsid w:val="FDCF3821"/>
    <w:rsid w:val="FF5F98E8"/>
    <w:rsid w:val="FF7F538D"/>
    <w:rsid w:val="FF9E4E9D"/>
    <w:rsid w:val="FFB7C1A7"/>
    <w:rsid w:val="FFF7061F"/>
    <w:rsid w:val="FFFD374A"/>
    <w:rsid w:val="FFFF8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Heading2"/>
    <w:basedOn w:val="1"/>
    <w:next w:val="1"/>
    <w:qFormat/>
    <w:uiPriority w:val="0"/>
    <w:pPr>
      <w:widowControl/>
      <w:spacing w:before="100" w:beforeAutospacing="1" w:after="100" w:afterAutospacing="1"/>
      <w:jc w:val="left"/>
      <w:textAlignment w:val="baseline"/>
    </w:pPr>
    <w:rPr>
      <w:rFonts w:ascii="宋体" w:hAnsi="宋体" w:cs="宋体"/>
      <w:b/>
      <w:bCs/>
      <w:kern w:val="0"/>
      <w:sz w:val="36"/>
      <w:szCs w:val="36"/>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正文格式"/>
    <w:basedOn w:val="1"/>
    <w:qFormat/>
    <w:uiPriority w:val="0"/>
    <w:pPr>
      <w:spacing w:line="520" w:lineRule="exact"/>
      <w:ind w:firstLine="600" w:firstLineChars="200"/>
    </w:pPr>
    <w:rPr>
      <w:rFonts w:ascii="Times New Roman" w:hAnsi="Times New Roman" w:eastAsia="仿宋_GB2312" w:cs="Times New Roman"/>
      <w:kern w:val="0"/>
      <w:sz w:val="30"/>
      <w:szCs w:val="30"/>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718</Words>
  <Characters>4096</Characters>
  <Lines>34</Lines>
  <Paragraphs>9</Paragraphs>
  <TotalTime>3</TotalTime>
  <ScaleCrop>false</ScaleCrop>
  <LinksUpToDate>false</LinksUpToDate>
  <CharactersWithSpaces>4805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2023-09-12T05:51:00Z</dcterms:created>
  <dc:creator>JYB</dc:creator>
  <cp:lastModifiedBy>浪里个郎Ethan</cp:lastModifiedBy>
  <cp:lastPrinted>2023-08-31T19:12:00Z</cp:lastPrinted>
  <dcterms:modified xsi:type="dcterms:W3CDTF">2023-12-11T06:23:26Z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4A28D53387BD4D9EB24F6BA1C769B34A_13</vt:lpwstr>
  </property>
</Properties>
</file>