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numId w:val="0"/>
        </w:numPr>
        <w:spacing w:line="270" w:lineRule="atLeast"/>
        <w:jc w:val="center"/>
        <w:rPr>
          <w:rFonts w:hint="default" w:ascii="ˎ̥" w:hAnsi="ˎ̥" w:cs="宋体"/>
          <w:b/>
          <w:bCs/>
          <w:kern w:val="0"/>
          <w:sz w:val="32"/>
          <w:szCs w:val="32"/>
          <w:lang w:val="en-US" w:eastAsia="zh-CN"/>
        </w:rPr>
      </w:pPr>
      <w:r>
        <w:rPr>
          <w:rFonts w:hint="eastAsia" w:ascii="ˎ̥" w:hAnsi="ˎ̥" w:cs="宋体"/>
          <w:b/>
          <w:bCs/>
          <w:kern w:val="0"/>
          <w:sz w:val="32"/>
          <w:szCs w:val="32"/>
          <w:lang w:val="en-US" w:eastAsia="zh-CN"/>
        </w:rPr>
        <w:t>能机学院2022年企业奖学金各奖项概述</w:t>
      </w:r>
    </w:p>
    <w:p>
      <w:pPr>
        <w:widowControl/>
        <w:numPr>
          <w:ilvl w:val="0"/>
          <w:numId w:val="1"/>
        </w:numPr>
        <w:spacing w:line="270" w:lineRule="atLeast"/>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上海电力大学“电院电气暨电力电子奖学金”</w:t>
      </w:r>
    </w:p>
    <w:p>
      <w:pPr>
        <w:tabs>
          <w:tab w:val="center" w:pos="4320"/>
          <w:tab w:val="left" w:pos="5955"/>
        </w:tabs>
        <w:snapToGrid w:val="0"/>
        <w:spacing w:line="288" w:lineRule="auto"/>
        <w:ind w:firstLine="470" w:firstLineChars="196"/>
        <w:jc w:val="left"/>
        <w:rPr>
          <w:rFonts w:hint="eastAsia" w:ascii="仿宋" w:hAnsi="仿宋" w:eastAsia="仿宋" w:cs="仿宋"/>
          <w:sz w:val="24"/>
        </w:rPr>
      </w:pPr>
      <w:r>
        <w:rPr>
          <w:rFonts w:hint="eastAsia" w:ascii="仿宋" w:hAnsi="仿宋" w:eastAsia="仿宋" w:cs="仿宋"/>
          <w:sz w:val="24"/>
        </w:rPr>
        <w:t>为支持上海电力大学家庭经济困难的大学生更好的完成学业，上海电院电力电子实业有限公司与上海电院电气设备有限公司每年出资15万元，在我校设立“电院电气暨电力电子奖学金”。</w:t>
      </w:r>
    </w:p>
    <w:p>
      <w:pPr>
        <w:widowControl/>
        <w:snapToGrid w:val="0"/>
        <w:spacing w:line="288" w:lineRule="auto"/>
        <w:jc w:val="left"/>
        <w:rPr>
          <w:rFonts w:hint="eastAsia" w:ascii="仿宋" w:hAnsi="仿宋" w:eastAsia="仿宋" w:cs="仿宋"/>
          <w:b/>
          <w:bCs/>
          <w:kern w:val="0"/>
          <w:sz w:val="24"/>
        </w:rPr>
      </w:pPr>
      <w:r>
        <w:rPr>
          <w:rFonts w:hint="eastAsia" w:ascii="仿宋" w:hAnsi="仿宋" w:eastAsia="仿宋" w:cs="仿宋"/>
          <w:b/>
          <w:bCs/>
          <w:kern w:val="0"/>
          <w:sz w:val="24"/>
          <w:lang w:eastAsia="zh-CN"/>
        </w:rPr>
        <w:t>（</w:t>
      </w:r>
      <w:r>
        <w:rPr>
          <w:rFonts w:hint="eastAsia" w:ascii="仿宋" w:hAnsi="仿宋" w:eastAsia="仿宋" w:cs="仿宋"/>
          <w:b/>
          <w:bCs/>
          <w:kern w:val="0"/>
          <w:sz w:val="24"/>
        </w:rPr>
        <w:t>一</w:t>
      </w:r>
      <w:r>
        <w:rPr>
          <w:rFonts w:hint="eastAsia" w:ascii="仿宋" w:hAnsi="仿宋" w:eastAsia="仿宋" w:cs="仿宋"/>
          <w:b/>
          <w:bCs/>
          <w:kern w:val="0"/>
          <w:sz w:val="24"/>
          <w:lang w:eastAsia="zh-CN"/>
        </w:rPr>
        <w:t>）</w:t>
      </w:r>
      <w:r>
        <w:rPr>
          <w:rFonts w:hint="eastAsia" w:ascii="仿宋" w:hAnsi="仿宋" w:eastAsia="仿宋" w:cs="仿宋"/>
          <w:b/>
          <w:bCs/>
          <w:kern w:val="0"/>
          <w:sz w:val="24"/>
        </w:rPr>
        <w:t>评选对象</w:t>
      </w:r>
    </w:p>
    <w:p>
      <w:pPr>
        <w:widowControl/>
        <w:spacing w:line="28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我校按时交纳学费且注册在籍的全日制</w:t>
      </w:r>
      <w:r>
        <w:rPr>
          <w:rFonts w:hint="eastAsia" w:ascii="仿宋" w:hAnsi="仿宋" w:eastAsia="仿宋" w:cs="仿宋"/>
          <w:b/>
          <w:kern w:val="0"/>
          <w:sz w:val="24"/>
        </w:rPr>
        <w:t>本科生</w:t>
      </w:r>
      <w:r>
        <w:rPr>
          <w:rFonts w:hint="eastAsia" w:ascii="仿宋" w:hAnsi="仿宋" w:eastAsia="仿宋" w:cs="仿宋"/>
          <w:kern w:val="0"/>
          <w:sz w:val="24"/>
        </w:rPr>
        <w:t>。</w:t>
      </w:r>
    </w:p>
    <w:p>
      <w:pPr>
        <w:widowControl/>
        <w:snapToGrid w:val="0"/>
        <w:spacing w:line="288" w:lineRule="auto"/>
        <w:jc w:val="left"/>
        <w:rPr>
          <w:rFonts w:hint="eastAsia" w:ascii="仿宋" w:hAnsi="仿宋" w:eastAsia="仿宋" w:cs="仿宋"/>
          <w:kern w:val="0"/>
          <w:sz w:val="24"/>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二</w:t>
      </w:r>
      <w:r>
        <w:rPr>
          <w:rFonts w:hint="eastAsia" w:ascii="仿宋" w:hAnsi="仿宋" w:eastAsia="仿宋" w:cs="仿宋"/>
          <w:b/>
          <w:bCs/>
          <w:kern w:val="0"/>
          <w:sz w:val="24"/>
          <w:lang w:eastAsia="zh-CN"/>
        </w:rPr>
        <w:t>）</w:t>
      </w:r>
      <w:r>
        <w:rPr>
          <w:rFonts w:hint="eastAsia" w:ascii="仿宋" w:hAnsi="仿宋" w:eastAsia="仿宋" w:cs="仿宋"/>
          <w:b/>
          <w:bCs/>
          <w:kern w:val="0"/>
          <w:sz w:val="24"/>
        </w:rPr>
        <w:t>评选标准</w:t>
      </w:r>
    </w:p>
    <w:p>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1、热爱社会主义祖国，拥护中国共产党的领导，道德品质优良。</w:t>
      </w:r>
    </w:p>
    <w:p>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2、自觉遵守宪法、法律和上海电力大学的各种规章制度。</w:t>
      </w:r>
    </w:p>
    <w:p>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3、学习态度端正，学风良好，综合测评成绩排名中等以上。</w:t>
      </w:r>
    </w:p>
    <w:p>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4、关心班级集体、乐于助人，积极参加学院各项活动。</w:t>
      </w:r>
    </w:p>
    <w:p>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5、涉及多学院评比的奖学金具体细则可由二级学院根据学院实际情况制定。</w:t>
      </w:r>
    </w:p>
    <w:p>
      <w:pPr>
        <w:snapToGrid w:val="0"/>
        <w:spacing w:line="288" w:lineRule="auto"/>
        <w:ind w:firstLine="472" w:firstLineChars="196"/>
        <w:rPr>
          <w:rFonts w:hint="eastAsia" w:ascii="仿宋" w:hAnsi="仿宋" w:eastAsia="仿宋" w:cs="仿宋"/>
          <w:b/>
          <w:sz w:val="24"/>
        </w:rPr>
      </w:pPr>
      <w:r>
        <w:rPr>
          <w:rFonts w:hint="eastAsia" w:ascii="仿宋" w:hAnsi="仿宋" w:eastAsia="仿宋" w:cs="仿宋"/>
          <w:b/>
          <w:sz w:val="24"/>
        </w:rPr>
        <w:t>申请者如符合下列条件之一，在同等条件下，可优先获得。</w:t>
      </w:r>
    </w:p>
    <w:p>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1、烈士子女。</w:t>
      </w:r>
    </w:p>
    <w:p>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2、下岗、单亲或其他困难家庭的子女。</w:t>
      </w:r>
    </w:p>
    <w:p>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3、边远省（区）特困少数民族家庭的学生或老少边穷地区特困家庭的学生。</w:t>
      </w:r>
    </w:p>
    <w:p>
      <w:pPr>
        <w:snapToGrid w:val="0"/>
        <w:spacing w:line="288" w:lineRule="auto"/>
        <w:ind w:firstLine="480" w:firstLineChars="200"/>
        <w:rPr>
          <w:rFonts w:hint="eastAsia" w:ascii="仿宋" w:hAnsi="仿宋" w:eastAsia="仿宋" w:cs="仿宋"/>
          <w:sz w:val="24"/>
        </w:rPr>
      </w:pPr>
    </w:p>
    <w:p>
      <w:pPr>
        <w:widowControl/>
        <w:numPr>
          <w:ilvl w:val="0"/>
          <w:numId w:val="1"/>
        </w:numPr>
        <w:spacing w:line="270" w:lineRule="atLeast"/>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上海电力大学“光力科技奖学金”</w:t>
      </w:r>
    </w:p>
    <w:p>
      <w:pPr>
        <w:widowControl/>
        <w:spacing w:line="312"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为了充分发挥校企合作优势，激励青年学生努力学习，奋发成才，郑州光力科技股份有限公司在上海电力大学设立“光力科技奖学金”</w:t>
      </w:r>
      <w:r>
        <w:rPr>
          <w:rFonts w:hint="eastAsia" w:ascii="仿宋" w:hAnsi="仿宋" w:eastAsia="仿宋" w:cs="仿宋"/>
          <w:kern w:val="0"/>
          <w:sz w:val="24"/>
          <w:lang w:eastAsia="zh-CN"/>
        </w:rPr>
        <w:t>。</w:t>
      </w:r>
    </w:p>
    <w:p>
      <w:pPr>
        <w:widowControl/>
        <w:snapToGrid w:val="0"/>
        <w:spacing w:line="312" w:lineRule="auto"/>
        <w:jc w:val="left"/>
        <w:rPr>
          <w:rFonts w:hint="eastAsia" w:ascii="仿宋" w:hAnsi="仿宋" w:eastAsia="仿宋" w:cs="仿宋"/>
          <w:b/>
          <w:bCs/>
          <w:kern w:val="0"/>
          <w:sz w:val="24"/>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一</w:t>
      </w:r>
      <w:r>
        <w:rPr>
          <w:rFonts w:hint="eastAsia" w:ascii="仿宋" w:hAnsi="仿宋" w:eastAsia="仿宋" w:cs="仿宋"/>
          <w:b/>
          <w:bCs/>
          <w:kern w:val="0"/>
          <w:sz w:val="24"/>
          <w:lang w:eastAsia="zh-CN"/>
        </w:rPr>
        <w:t>）</w:t>
      </w:r>
      <w:r>
        <w:rPr>
          <w:rFonts w:hint="eastAsia" w:ascii="仿宋" w:hAnsi="仿宋" w:eastAsia="仿宋" w:cs="仿宋"/>
          <w:b/>
          <w:bCs/>
          <w:kern w:val="0"/>
          <w:sz w:val="24"/>
        </w:rPr>
        <w:t>评选对象</w:t>
      </w:r>
    </w:p>
    <w:p>
      <w:pPr>
        <w:widowControl/>
        <w:spacing w:line="312"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我校按时交纳学费且注册在籍的二、三年级全日制</w:t>
      </w:r>
      <w:r>
        <w:rPr>
          <w:rFonts w:hint="eastAsia" w:ascii="仿宋" w:hAnsi="仿宋" w:eastAsia="仿宋" w:cs="仿宋"/>
          <w:b/>
          <w:kern w:val="0"/>
          <w:sz w:val="24"/>
        </w:rPr>
        <w:t>本科生</w:t>
      </w:r>
      <w:r>
        <w:rPr>
          <w:rFonts w:hint="eastAsia" w:ascii="仿宋" w:hAnsi="仿宋" w:eastAsia="仿宋" w:cs="仿宋"/>
          <w:kern w:val="0"/>
          <w:sz w:val="24"/>
        </w:rPr>
        <w:t>。</w:t>
      </w:r>
    </w:p>
    <w:p>
      <w:pPr>
        <w:widowControl/>
        <w:spacing w:line="312" w:lineRule="auto"/>
        <w:jc w:val="left"/>
        <w:rPr>
          <w:rFonts w:hint="eastAsia" w:ascii="仿宋" w:hAnsi="仿宋" w:eastAsia="仿宋" w:cs="仿宋"/>
          <w:kern w:val="0"/>
          <w:sz w:val="24"/>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二</w:t>
      </w:r>
      <w:r>
        <w:rPr>
          <w:rFonts w:hint="eastAsia" w:ascii="仿宋" w:hAnsi="仿宋" w:eastAsia="仿宋" w:cs="仿宋"/>
          <w:b/>
          <w:bCs/>
          <w:kern w:val="0"/>
          <w:sz w:val="24"/>
          <w:lang w:eastAsia="zh-CN"/>
        </w:rPr>
        <w:t>）</w:t>
      </w:r>
      <w:r>
        <w:rPr>
          <w:rFonts w:hint="eastAsia" w:ascii="仿宋" w:hAnsi="仿宋" w:eastAsia="仿宋" w:cs="仿宋"/>
          <w:b/>
          <w:bCs/>
          <w:kern w:val="0"/>
          <w:sz w:val="24"/>
        </w:rPr>
        <w:t>评选标准：</w:t>
      </w:r>
    </w:p>
    <w:p>
      <w:pPr>
        <w:widowControl/>
        <w:spacing w:line="312"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1、热爱祖国，拥护中国共产党的领导，遵纪守法，品德优良，表现良好，诚实守信。</w:t>
      </w:r>
    </w:p>
    <w:p>
      <w:pPr>
        <w:widowControl/>
        <w:spacing w:line="312"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2、热爱所学专业，学习刻苦，成绩优秀，积极参加社会实践活动，年度综合测评成绩排名在前20%内且家庭经济困难。</w:t>
      </w:r>
    </w:p>
    <w:p>
      <w:pPr>
        <w:widowControl/>
        <w:spacing w:line="312"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3、积极参加各类科技竞赛和学科竞赛活动,并获得校级(含校级)以上奖励。</w:t>
      </w:r>
    </w:p>
    <w:p>
      <w:pPr>
        <w:snapToGrid w:val="0"/>
        <w:spacing w:line="312" w:lineRule="auto"/>
        <w:ind w:firstLine="480"/>
        <w:rPr>
          <w:rFonts w:hint="eastAsia" w:ascii="仿宋" w:hAnsi="仿宋" w:eastAsia="仿宋" w:cs="仿宋"/>
          <w:sz w:val="24"/>
        </w:rPr>
      </w:pPr>
      <w:r>
        <w:rPr>
          <w:rFonts w:hint="eastAsia" w:ascii="仿宋" w:hAnsi="仿宋" w:eastAsia="仿宋" w:cs="仿宋"/>
          <w:sz w:val="24"/>
        </w:rPr>
        <w:t>4、团结他人，相容性强，多次参加社会实践和志愿服务活动，具备出色的社会能力和组织能力。</w:t>
      </w:r>
    </w:p>
    <w:p>
      <w:pPr>
        <w:snapToGrid w:val="0"/>
        <w:spacing w:line="312" w:lineRule="auto"/>
        <w:ind w:firstLine="480"/>
        <w:rPr>
          <w:rFonts w:hint="eastAsia" w:ascii="仿宋" w:hAnsi="仿宋" w:eastAsia="仿宋" w:cs="仿宋"/>
          <w:sz w:val="24"/>
        </w:rPr>
      </w:pPr>
      <w:r>
        <w:rPr>
          <w:rFonts w:hint="eastAsia" w:ascii="仿宋" w:hAnsi="仿宋" w:eastAsia="仿宋" w:cs="仿宋"/>
          <w:sz w:val="24"/>
        </w:rPr>
        <w:t>5、涉及多学院评比的奖学金具体细则可由二级学院根据学院实际情况制定。</w:t>
      </w:r>
    </w:p>
    <w:p>
      <w:pPr>
        <w:widowControl/>
        <w:numPr>
          <w:ilvl w:val="0"/>
          <w:numId w:val="1"/>
        </w:numPr>
        <w:spacing w:line="270" w:lineRule="atLeast"/>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上海电力大学“康迪纳-东楼奖学金”</w:t>
      </w:r>
    </w:p>
    <w:p>
      <w:pPr>
        <w:widowControl/>
        <w:snapToGrid w:val="0"/>
        <w:spacing w:line="336" w:lineRule="auto"/>
        <w:ind w:firstLine="480" w:firstLineChars="200"/>
        <w:jc w:val="left"/>
        <w:rPr>
          <w:rFonts w:hint="eastAsia" w:ascii="仿宋" w:hAnsi="仿宋" w:eastAsia="仿宋" w:cs="仿宋"/>
          <w:kern w:val="0"/>
          <w:sz w:val="24"/>
        </w:rPr>
      </w:pPr>
    </w:p>
    <w:p>
      <w:pPr>
        <w:widowControl/>
        <w:snapToGrid w:val="0"/>
        <w:spacing w:line="360"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为了充分发挥校企合作优势，助推我校人才培养及教育事业的发展，安徽康迪纳电力科技有限责任公司特在上海电力大学设立“康迪纳-东楼奖学金”</w:t>
      </w:r>
      <w:r>
        <w:rPr>
          <w:rFonts w:hint="eastAsia" w:ascii="仿宋" w:hAnsi="仿宋" w:eastAsia="仿宋" w:cs="仿宋"/>
          <w:kern w:val="0"/>
          <w:sz w:val="24"/>
          <w:lang w:eastAsia="zh-CN"/>
        </w:rPr>
        <w:t>。</w:t>
      </w:r>
    </w:p>
    <w:p>
      <w:pPr>
        <w:widowControl/>
        <w:snapToGrid w:val="0"/>
        <w:spacing w:line="360" w:lineRule="auto"/>
        <w:jc w:val="left"/>
        <w:rPr>
          <w:rFonts w:hint="eastAsia" w:ascii="仿宋" w:hAnsi="仿宋" w:eastAsia="仿宋" w:cs="仿宋"/>
          <w:kern w:val="0"/>
          <w:sz w:val="24"/>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一</w:t>
      </w:r>
      <w:r>
        <w:rPr>
          <w:rFonts w:hint="eastAsia" w:ascii="仿宋" w:hAnsi="仿宋" w:eastAsia="仿宋" w:cs="仿宋"/>
          <w:b/>
          <w:bCs/>
          <w:kern w:val="0"/>
          <w:sz w:val="24"/>
          <w:lang w:eastAsia="zh-CN"/>
        </w:rPr>
        <w:t>）</w:t>
      </w:r>
      <w:r>
        <w:rPr>
          <w:rFonts w:hint="eastAsia" w:ascii="仿宋" w:hAnsi="仿宋" w:eastAsia="仿宋" w:cs="仿宋"/>
          <w:b/>
          <w:bCs/>
          <w:kern w:val="0"/>
          <w:sz w:val="24"/>
        </w:rPr>
        <w:t>评选对象：</w:t>
      </w:r>
    </w:p>
    <w:p>
      <w:pPr>
        <w:widowControl/>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能源与机械工程学院按时交纳学费且注册在籍的二、三、四年级全日制本科生。已获过本奖学金者不再接受申请。</w:t>
      </w:r>
    </w:p>
    <w:p>
      <w:pPr>
        <w:widowControl/>
        <w:snapToGrid w:val="0"/>
        <w:spacing w:line="360" w:lineRule="auto"/>
        <w:jc w:val="left"/>
        <w:rPr>
          <w:rFonts w:hint="eastAsia" w:ascii="仿宋" w:hAnsi="仿宋" w:eastAsia="仿宋" w:cs="仿宋"/>
          <w:b/>
          <w:kern w:val="0"/>
          <w:sz w:val="24"/>
        </w:rPr>
      </w:pPr>
      <w:r>
        <w:rPr>
          <w:rFonts w:hint="eastAsia" w:ascii="仿宋" w:hAnsi="仿宋" w:eastAsia="仿宋" w:cs="仿宋"/>
          <w:b/>
          <w:kern w:val="0"/>
          <w:sz w:val="24"/>
          <w:lang w:eastAsia="zh-CN"/>
        </w:rPr>
        <w:t>（</w:t>
      </w:r>
      <w:r>
        <w:rPr>
          <w:rFonts w:hint="eastAsia" w:ascii="仿宋" w:hAnsi="仿宋" w:eastAsia="仿宋" w:cs="仿宋"/>
          <w:b/>
          <w:kern w:val="0"/>
          <w:sz w:val="24"/>
          <w:lang w:val="en-US" w:eastAsia="zh-CN"/>
        </w:rPr>
        <w:t>二</w:t>
      </w:r>
      <w:r>
        <w:rPr>
          <w:rFonts w:hint="eastAsia" w:ascii="仿宋" w:hAnsi="仿宋" w:eastAsia="仿宋" w:cs="仿宋"/>
          <w:b/>
          <w:kern w:val="0"/>
          <w:sz w:val="24"/>
          <w:lang w:eastAsia="zh-CN"/>
        </w:rPr>
        <w:t>）</w:t>
      </w:r>
      <w:r>
        <w:rPr>
          <w:rFonts w:hint="eastAsia" w:ascii="仿宋" w:hAnsi="仿宋" w:eastAsia="仿宋" w:cs="仿宋"/>
          <w:b/>
          <w:kern w:val="0"/>
          <w:sz w:val="24"/>
        </w:rPr>
        <w:t>评选条件：</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1、热爱社会主义祖国，拥护中国共产党的领导。</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2、遵守宪法和法律，遵守学校规章制度，诚实守信，道德品质优良，在校期间无违纪行为。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3、在校期间学习成绩优秀，本科生综合测评成绩在本专业排名前30%。</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4、在科创、社会实践、科研成果、学生工作等方面有突出表现，获得过校级(含校级)以上奖励，具有较强的实践和创新能力。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5、积极参加校内活动及社会公益活动，具备出色的社会能力和组织能力者优先考虑。</w:t>
      </w:r>
    </w:p>
    <w:p>
      <w:pPr>
        <w:snapToGrid w:val="0"/>
        <w:spacing w:line="312" w:lineRule="auto"/>
        <w:ind w:firstLine="480"/>
        <w:rPr>
          <w:rFonts w:hint="eastAsia" w:ascii="仿宋" w:hAnsi="仿宋" w:eastAsia="仿宋" w:cs="仿宋"/>
          <w:sz w:val="24"/>
        </w:rPr>
      </w:pPr>
    </w:p>
    <w:p>
      <w:pPr>
        <w:widowControl/>
        <w:numPr>
          <w:ilvl w:val="0"/>
          <w:numId w:val="1"/>
        </w:numPr>
        <w:spacing w:line="270" w:lineRule="atLeast"/>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上海电力大学“心彼心教育奖学金”</w:t>
      </w:r>
    </w:p>
    <w:p>
      <w:pPr>
        <w:widowControl/>
        <w:snapToGrid w:val="0"/>
        <w:spacing w:line="336" w:lineRule="auto"/>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rPr>
        <w:t>为了充分发挥校企合作优势，激励青年学生努力学习，奋发成才，心彼心（上海）教育科技有限公司特在上海电力大学设立“心彼心</w:t>
      </w:r>
      <w:r>
        <w:rPr>
          <w:rFonts w:hint="eastAsia" w:ascii="仿宋" w:hAnsi="仿宋" w:eastAsia="仿宋" w:cs="仿宋"/>
          <w:bCs/>
          <w:kern w:val="0"/>
          <w:sz w:val="24"/>
        </w:rPr>
        <w:t>教育</w:t>
      </w:r>
      <w:r>
        <w:rPr>
          <w:rFonts w:hint="eastAsia" w:ascii="仿宋" w:hAnsi="仿宋" w:eastAsia="仿宋" w:cs="仿宋"/>
          <w:kern w:val="0"/>
          <w:sz w:val="24"/>
        </w:rPr>
        <w:t>奖学金”</w:t>
      </w:r>
      <w:r>
        <w:rPr>
          <w:rFonts w:hint="eastAsia" w:ascii="仿宋" w:hAnsi="仿宋" w:eastAsia="仿宋" w:cs="仿宋"/>
          <w:kern w:val="0"/>
          <w:sz w:val="24"/>
          <w:lang w:eastAsia="zh-CN"/>
        </w:rPr>
        <w:t>。</w:t>
      </w:r>
    </w:p>
    <w:p>
      <w:pPr>
        <w:widowControl/>
        <w:snapToGrid w:val="0"/>
        <w:spacing w:line="336" w:lineRule="auto"/>
        <w:jc w:val="left"/>
        <w:rPr>
          <w:rFonts w:hint="eastAsia" w:ascii="仿宋" w:hAnsi="仿宋" w:eastAsia="仿宋" w:cs="仿宋"/>
          <w:kern w:val="0"/>
          <w:sz w:val="24"/>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一</w:t>
      </w:r>
      <w:r>
        <w:rPr>
          <w:rFonts w:hint="eastAsia" w:ascii="仿宋" w:hAnsi="仿宋" w:eastAsia="仿宋" w:cs="仿宋"/>
          <w:b/>
          <w:bCs/>
          <w:kern w:val="0"/>
          <w:sz w:val="24"/>
          <w:lang w:eastAsia="zh-CN"/>
        </w:rPr>
        <w:t>）</w:t>
      </w:r>
      <w:r>
        <w:rPr>
          <w:rFonts w:hint="eastAsia" w:ascii="仿宋" w:hAnsi="仿宋" w:eastAsia="仿宋" w:cs="仿宋"/>
          <w:b/>
          <w:bCs/>
          <w:kern w:val="0"/>
          <w:sz w:val="24"/>
        </w:rPr>
        <w:t>评选对象：</w:t>
      </w:r>
    </w:p>
    <w:p>
      <w:pPr>
        <w:widowControl/>
        <w:snapToGrid w:val="0"/>
        <w:spacing w:line="336"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上海电力大学按时交纳学费且注册在籍的二、三年级全日制本科生。</w:t>
      </w:r>
    </w:p>
    <w:p>
      <w:pPr>
        <w:widowControl/>
        <w:snapToGrid w:val="0"/>
        <w:spacing w:line="336" w:lineRule="auto"/>
        <w:jc w:val="left"/>
        <w:rPr>
          <w:rFonts w:hint="eastAsia" w:ascii="仿宋" w:hAnsi="仿宋" w:eastAsia="仿宋" w:cs="仿宋"/>
          <w:b/>
          <w:kern w:val="0"/>
          <w:sz w:val="24"/>
        </w:rPr>
      </w:pPr>
      <w:r>
        <w:rPr>
          <w:rFonts w:hint="eastAsia" w:ascii="仿宋" w:hAnsi="仿宋" w:eastAsia="仿宋" w:cs="仿宋"/>
          <w:b/>
          <w:kern w:val="0"/>
          <w:sz w:val="24"/>
          <w:lang w:eastAsia="zh-CN"/>
        </w:rPr>
        <w:t>（</w:t>
      </w:r>
      <w:r>
        <w:rPr>
          <w:rFonts w:hint="eastAsia" w:ascii="仿宋" w:hAnsi="仿宋" w:eastAsia="仿宋" w:cs="仿宋"/>
          <w:b/>
          <w:kern w:val="0"/>
          <w:sz w:val="24"/>
          <w:lang w:val="en-US" w:eastAsia="zh-CN"/>
        </w:rPr>
        <w:t>二</w:t>
      </w:r>
      <w:r>
        <w:rPr>
          <w:rFonts w:hint="eastAsia" w:ascii="仿宋" w:hAnsi="仿宋" w:eastAsia="仿宋" w:cs="仿宋"/>
          <w:b/>
          <w:kern w:val="0"/>
          <w:sz w:val="24"/>
          <w:lang w:eastAsia="zh-CN"/>
        </w:rPr>
        <w:t>）</w:t>
      </w:r>
      <w:r>
        <w:rPr>
          <w:rFonts w:hint="eastAsia" w:ascii="仿宋" w:hAnsi="仿宋" w:eastAsia="仿宋" w:cs="仿宋"/>
          <w:b/>
          <w:kern w:val="0"/>
          <w:sz w:val="24"/>
        </w:rPr>
        <w:t>评选条件：</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1、热爱祖国，遵纪守法，品行端正。</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2、热爱所学专业，学习刻苦，成绩优秀，</w:t>
      </w:r>
      <w:r>
        <w:rPr>
          <w:rFonts w:hint="eastAsia" w:ascii="仿宋" w:hAnsi="仿宋" w:eastAsia="仿宋" w:cs="仿宋"/>
          <w:kern w:val="0"/>
          <w:sz w:val="24"/>
        </w:rPr>
        <w:t>年度</w:t>
      </w:r>
      <w:r>
        <w:rPr>
          <w:rFonts w:hint="eastAsia" w:ascii="仿宋" w:hAnsi="仿宋" w:eastAsia="仿宋" w:cs="仿宋"/>
          <w:sz w:val="24"/>
        </w:rPr>
        <w:t>综合测评成绩专业排名前30%。</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3、团结他人，相容性强，积极参加志愿服务活动，具备出色的社会能力和组织能力。</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4、涉及多学院评比的奖学金具体细则可由二级学院根据学院实际情况制定。</w:t>
      </w:r>
    </w:p>
    <w:p>
      <w:pPr>
        <w:widowControl/>
        <w:numPr>
          <w:ilvl w:val="0"/>
          <w:numId w:val="1"/>
        </w:numPr>
        <w:spacing w:line="270" w:lineRule="atLeast"/>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上海电力大学“中天科技奖学金”</w:t>
      </w:r>
    </w:p>
    <w:p>
      <w:pPr>
        <w:widowControl/>
        <w:snapToGrid w:val="0"/>
        <w:spacing w:line="288" w:lineRule="auto"/>
        <w:ind w:firstLine="48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24"/>
        </w:rPr>
        <w:t>为了充分发挥校企合作优势，激励青年学生努力学习，奋发成才，</w:t>
      </w:r>
      <w:r>
        <w:rPr>
          <w:rFonts w:hint="eastAsia" w:ascii="仿宋" w:hAnsi="仿宋" w:eastAsia="仿宋" w:cs="仿宋"/>
          <w:kern w:val="0"/>
          <w:sz w:val="24"/>
          <w:lang w:eastAsia="zh-Hans"/>
        </w:rPr>
        <w:t>江苏中天科技股份</w:t>
      </w:r>
      <w:r>
        <w:rPr>
          <w:rFonts w:hint="eastAsia" w:ascii="仿宋" w:hAnsi="仿宋" w:eastAsia="仿宋" w:cs="仿宋"/>
          <w:kern w:val="0"/>
          <w:sz w:val="24"/>
        </w:rPr>
        <w:t>有限公司在上海电力大学设立“中天科技奖学金”</w:t>
      </w:r>
      <w:r>
        <w:rPr>
          <w:rFonts w:hint="eastAsia" w:ascii="仿宋" w:hAnsi="仿宋" w:eastAsia="仿宋" w:cs="仿宋"/>
          <w:kern w:val="0"/>
          <w:sz w:val="24"/>
          <w:lang w:eastAsia="zh-CN"/>
        </w:rPr>
        <w:t>。</w:t>
      </w:r>
    </w:p>
    <w:p>
      <w:pPr>
        <w:widowControl/>
        <w:snapToGrid w:val="0"/>
        <w:spacing w:line="312" w:lineRule="auto"/>
        <w:jc w:val="left"/>
        <w:rPr>
          <w:rFonts w:hint="eastAsia" w:ascii="仿宋" w:hAnsi="仿宋" w:eastAsia="仿宋" w:cs="仿宋"/>
          <w:b/>
          <w:bCs/>
          <w:kern w:val="0"/>
          <w:sz w:val="24"/>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一</w:t>
      </w:r>
      <w:r>
        <w:rPr>
          <w:rFonts w:hint="eastAsia" w:ascii="仿宋" w:hAnsi="仿宋" w:eastAsia="仿宋" w:cs="仿宋"/>
          <w:b/>
          <w:bCs/>
          <w:kern w:val="0"/>
          <w:sz w:val="24"/>
          <w:lang w:eastAsia="zh-CN"/>
        </w:rPr>
        <w:t>）</w:t>
      </w:r>
      <w:r>
        <w:rPr>
          <w:rFonts w:hint="eastAsia" w:ascii="仿宋" w:hAnsi="仿宋" w:eastAsia="仿宋" w:cs="仿宋"/>
          <w:b/>
          <w:bCs/>
          <w:kern w:val="0"/>
          <w:sz w:val="24"/>
        </w:rPr>
        <w:t>评选对象</w:t>
      </w:r>
    </w:p>
    <w:p>
      <w:pPr>
        <w:widowControl/>
        <w:spacing w:line="312"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我校按时交纳学费且注册在籍的全日制</w:t>
      </w:r>
      <w:r>
        <w:rPr>
          <w:rFonts w:hint="eastAsia" w:ascii="仿宋" w:hAnsi="仿宋" w:eastAsia="仿宋" w:cs="仿宋"/>
          <w:b/>
          <w:kern w:val="0"/>
          <w:sz w:val="24"/>
        </w:rPr>
        <w:t>本科生。</w:t>
      </w:r>
    </w:p>
    <w:p>
      <w:pPr>
        <w:widowControl/>
        <w:snapToGrid w:val="0"/>
        <w:spacing w:line="288" w:lineRule="auto"/>
        <w:jc w:val="left"/>
        <w:rPr>
          <w:rFonts w:hint="eastAsia" w:ascii="仿宋" w:hAnsi="仿宋" w:eastAsia="仿宋" w:cs="仿宋"/>
          <w:kern w:val="0"/>
          <w:sz w:val="24"/>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二</w:t>
      </w:r>
      <w:r>
        <w:rPr>
          <w:rFonts w:hint="eastAsia" w:ascii="仿宋" w:hAnsi="仿宋" w:eastAsia="仿宋" w:cs="仿宋"/>
          <w:b/>
          <w:bCs/>
          <w:kern w:val="0"/>
          <w:sz w:val="24"/>
          <w:lang w:eastAsia="zh-CN"/>
        </w:rPr>
        <w:t>）</w:t>
      </w:r>
      <w:r>
        <w:rPr>
          <w:rFonts w:hint="eastAsia" w:ascii="仿宋" w:hAnsi="仿宋" w:eastAsia="仿宋" w:cs="仿宋"/>
          <w:b/>
          <w:bCs/>
          <w:kern w:val="0"/>
          <w:sz w:val="24"/>
        </w:rPr>
        <w:t>评选标准：</w:t>
      </w:r>
    </w:p>
    <w:p>
      <w:pPr>
        <w:widowControl/>
        <w:snapToGrid w:val="0"/>
        <w:spacing w:line="28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1、热爱祖国，拥护中国共产党的领导，遵纪守法，品德优良，表现良好，诚实守信。</w:t>
      </w:r>
    </w:p>
    <w:p>
      <w:pPr>
        <w:widowControl/>
        <w:snapToGrid w:val="0"/>
        <w:spacing w:line="28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2、热爱所学专业，学习刻苦，成绩优秀，积极参加社会实践活动，综合测评成绩专业排名在前10名内。</w:t>
      </w:r>
    </w:p>
    <w:p>
      <w:pPr>
        <w:widowControl/>
        <w:snapToGrid w:val="0"/>
        <w:spacing w:line="28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3、通过国家体育锻炼标准，身心健康。</w:t>
      </w:r>
    </w:p>
    <w:p>
      <w:pPr>
        <w:widowControl/>
        <w:snapToGrid w:val="0"/>
        <w:spacing w:line="28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4、本科生通过CET4，成绩为优秀，或通过CET6。</w:t>
      </w:r>
    </w:p>
    <w:p>
      <w:pPr>
        <w:widowControl/>
        <w:snapToGrid w:val="0"/>
        <w:spacing w:line="288"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5、涉及多学院评比的奖学金具体细则可由二级学院根据学院实际情况制定。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AA66F"/>
    <w:multiLevelType w:val="singleLevel"/>
    <w:tmpl w:val="045AA6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6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2022-04-23T09:05:54Z</dcterms:created>
  <dc:creator>Dianna</dc:creator>
  <cp:lastModifiedBy>Dianna</cp:lastModifiedBy>
  <dcterms:modified xsi:type="dcterms:W3CDTF">2022-04-23T09:14:28Z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eyJoZGlkIjoiNWFiN2RiYzQyY2VkMWIzZmMyOTgwNGJjMzNjNGIzYWIifQ==</vt:lpwstr>
  </property>
  <property fmtid="{D5CDD505-2E9C-101B-9397-08002B2CF9AE}" pid="4" name="ICV">
    <vt:lpwstr>72CE65DC6B604CF8A252197F0F39FA59</vt:lpwstr>
  </property>
</Properties>
</file>